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AF4B" w14:textId="77777777" w:rsidR="00DA67DD" w:rsidRPr="00DE7E3F" w:rsidRDefault="00DA67DD" w:rsidP="00DA67DD">
      <w:pPr>
        <w:jc w:val="center"/>
        <w:rPr>
          <w:rFonts w:cs="Times New Roman"/>
          <w:b/>
          <w:bCs/>
          <w:szCs w:val="20"/>
        </w:rPr>
      </w:pPr>
      <w:r w:rsidRPr="00DE7E3F">
        <w:rPr>
          <w:rFonts w:cs="Times New Roman"/>
          <w:b/>
          <w:bCs/>
          <w:szCs w:val="20"/>
        </w:rPr>
        <w:t xml:space="preserve">ELAIA </w:t>
      </w:r>
      <w:r>
        <w:rPr>
          <w:rFonts w:cs="Times New Roman"/>
          <w:b/>
          <w:bCs/>
          <w:szCs w:val="20"/>
        </w:rPr>
        <w:t>DTS3</w:t>
      </w:r>
      <w:r w:rsidRPr="00DE7E3F">
        <w:rPr>
          <w:rFonts w:cs="Times New Roman"/>
          <w:b/>
          <w:bCs/>
          <w:szCs w:val="20"/>
        </w:rPr>
        <w:t xml:space="preserve"> FUND</w:t>
      </w:r>
    </w:p>
    <w:p w14:paraId="1549D279" w14:textId="77777777" w:rsidR="00DA67DD" w:rsidRPr="00DE7E3F" w:rsidRDefault="00DA67DD" w:rsidP="00DA67DD">
      <w:pPr>
        <w:jc w:val="center"/>
        <w:rPr>
          <w:rFonts w:cs="Times New Roman"/>
          <w:szCs w:val="20"/>
        </w:rPr>
      </w:pPr>
      <w:r w:rsidRPr="00DE7E3F">
        <w:rPr>
          <w:rFonts w:cs="Times New Roman"/>
          <w:szCs w:val="20"/>
        </w:rPr>
        <w:t>A Professional Private Equity Investment Fund</w:t>
      </w:r>
    </w:p>
    <w:p w14:paraId="4C1C3A1B" w14:textId="77777777" w:rsidR="00DA67DD" w:rsidRPr="00DE7E3F" w:rsidRDefault="00DA67DD" w:rsidP="00DA67DD">
      <w:pPr>
        <w:jc w:val="center"/>
        <w:rPr>
          <w:rFonts w:cs="Times New Roman"/>
          <w:szCs w:val="20"/>
          <w:lang w:val="fr-FR"/>
        </w:rPr>
      </w:pPr>
      <w:r w:rsidRPr="00DE7E3F">
        <w:rPr>
          <w:rFonts w:cs="Times New Roman"/>
          <w:szCs w:val="20"/>
          <w:lang w:val="fr-FR"/>
        </w:rPr>
        <w:t>“</w:t>
      </w:r>
      <w:r w:rsidRPr="00DE7E3F">
        <w:rPr>
          <w:rFonts w:cs="Times New Roman"/>
          <w:i/>
          <w:szCs w:val="20"/>
          <w:lang w:val="fr-FR"/>
        </w:rPr>
        <w:t>Fonds Professionnel de Capital Investissement</w:t>
      </w:r>
      <w:r w:rsidRPr="00DE7E3F">
        <w:rPr>
          <w:rFonts w:cs="Times New Roman"/>
          <w:szCs w:val="20"/>
          <w:lang w:val="fr-FR"/>
        </w:rPr>
        <w:t>”</w:t>
      </w:r>
    </w:p>
    <w:p w14:paraId="71EE08F4" w14:textId="77777777" w:rsidR="00DA67DD" w:rsidRPr="00DE7E3F" w:rsidRDefault="00DA67DD" w:rsidP="00DA67DD">
      <w:pPr>
        <w:jc w:val="center"/>
        <w:rPr>
          <w:rFonts w:cs="Times New Roman"/>
          <w:i/>
          <w:szCs w:val="20"/>
        </w:rPr>
      </w:pPr>
      <w:r w:rsidRPr="00DE7E3F">
        <w:rPr>
          <w:rFonts w:cs="Times New Roman"/>
          <w:i/>
          <w:szCs w:val="20"/>
        </w:rPr>
        <w:t>Articles L.214-159 et seq. of the French Monetary and Financial Code</w:t>
      </w:r>
    </w:p>
    <w:p w14:paraId="53DA6F1A" w14:textId="77777777" w:rsidR="00DA67DD" w:rsidRPr="00DE7E3F" w:rsidRDefault="00DA67DD" w:rsidP="00DA67DD">
      <w:pPr>
        <w:rPr>
          <w:rFonts w:cs="Times New Roman"/>
          <w:szCs w:val="20"/>
        </w:rPr>
      </w:pPr>
    </w:p>
    <w:p w14:paraId="7DE51906" w14:textId="77777777" w:rsidR="00DA67DD" w:rsidRPr="00DE7E3F" w:rsidRDefault="00DA67DD" w:rsidP="00DA67DD">
      <w:pPr>
        <w:rPr>
          <w:rFonts w:cs="Times New Roman"/>
          <w:szCs w:val="20"/>
        </w:rPr>
      </w:pPr>
    </w:p>
    <w:p w14:paraId="2368075A" w14:textId="77777777" w:rsidR="00DA67DD" w:rsidRDefault="00DA67DD" w:rsidP="00DA67DD">
      <w:pPr>
        <w:rPr>
          <w:rFonts w:cs="Times New Roman"/>
        </w:rPr>
      </w:pPr>
    </w:p>
    <w:p w14:paraId="68EED146" w14:textId="77777777" w:rsidR="00DA67DD" w:rsidRDefault="00DA67DD" w:rsidP="00DA67DD">
      <w:pPr>
        <w:rPr>
          <w:rFonts w:cs="Times New Roman"/>
        </w:rPr>
      </w:pPr>
    </w:p>
    <w:p w14:paraId="0E0A367A" w14:textId="77777777" w:rsidR="002A645B" w:rsidRPr="004346A9" w:rsidRDefault="002A645B" w:rsidP="002A645B">
      <w:pPr>
        <w:jc w:val="center"/>
        <w:rPr>
          <w:rFonts w:ascii="Caviar Dreams" w:hAnsi="Caviar Dreams"/>
          <w:b/>
          <w:bCs/>
          <w:sz w:val="24"/>
          <w:szCs w:val="24"/>
        </w:rPr>
      </w:pPr>
      <w:r w:rsidRPr="004346A9">
        <w:rPr>
          <w:rFonts w:ascii="Caviar Dreams" w:hAnsi="Caviar Dreams"/>
          <w:b/>
          <w:bCs/>
          <w:sz w:val="24"/>
          <w:szCs w:val="24"/>
        </w:rPr>
        <w:t>Pre-contractual disclosure for the financial products referred to in Article 8, paragraphs 1, 2 and 2a, of Regulation (EU) 2019/2088 and Article 6, first paragraph, of Regulation (EU) 2020/852</w:t>
      </w:r>
    </w:p>
    <w:p w14:paraId="0E6D042B" w14:textId="0D59F44E" w:rsidR="00DA67DD" w:rsidRDefault="00DA67DD" w:rsidP="00DA67DD">
      <w:pPr>
        <w:jc w:val="center"/>
        <w:rPr>
          <w:rFonts w:cs="Times New Roman"/>
          <w:b/>
        </w:rPr>
      </w:pPr>
      <w:r w:rsidRPr="003A1C01">
        <w:rPr>
          <w:rFonts w:ascii="Calibri" w:eastAsia="Calibri" w:hAnsi="Calibri"/>
          <w:b/>
          <w:noProof/>
        </w:rPr>
        <mc:AlternateContent>
          <mc:Choice Requires="wps">
            <w:drawing>
              <wp:anchor distT="0" distB="0" distL="114300" distR="114300" simplePos="0" relativeHeight="251671552" behindDoc="0" locked="0" layoutInCell="1" allowOverlap="1" wp14:anchorId="675C59AF" wp14:editId="5CE980C3">
                <wp:simplePos x="0" y="0"/>
                <wp:positionH relativeFrom="page">
                  <wp:posOffset>55880</wp:posOffset>
                </wp:positionH>
                <wp:positionV relativeFrom="margin">
                  <wp:posOffset>2039620</wp:posOffset>
                </wp:positionV>
                <wp:extent cx="1038225" cy="1997710"/>
                <wp:effectExtent l="0" t="0" r="3175" b="0"/>
                <wp:wrapSquare wrapText="bothSides"/>
                <wp:docPr id="221" name="Rectangle 221"/>
                <wp:cNvGraphicFramePr/>
                <a:graphic xmlns:a="http://schemas.openxmlformats.org/drawingml/2006/main">
                  <a:graphicData uri="http://schemas.microsoft.com/office/word/2010/wordprocessingShape">
                    <wps:wsp>
                      <wps:cNvSpPr/>
                      <wps:spPr>
                        <a:xfrm>
                          <a:off x="0" y="0"/>
                          <a:ext cx="1038225" cy="1997710"/>
                        </a:xfrm>
                        <a:prstGeom prst="rect">
                          <a:avLst/>
                        </a:prstGeom>
                        <a:solidFill>
                          <a:sysClr val="window" lastClr="FFFFFF">
                            <a:lumMod val="95000"/>
                          </a:sysClr>
                        </a:solidFill>
                        <a:ln w="12700" cap="flat" cmpd="sng" algn="ctr">
                          <a:noFill/>
                          <a:prstDash val="solid"/>
                          <a:miter lim="800000"/>
                        </a:ln>
                        <a:effectLst/>
                      </wps:spPr>
                      <wps:txbx>
                        <w:txbxContent>
                          <w:p w14:paraId="32A72905" w14:textId="77777777" w:rsidR="00DA67DD" w:rsidRPr="00C1306C" w:rsidRDefault="00DA67DD" w:rsidP="00DA67DD">
                            <w:pPr>
                              <w:ind w:left="-142" w:right="-268"/>
                              <w:jc w:val="left"/>
                              <w:rPr>
                                <w:rFonts w:cs="Calibri"/>
                                <w:bCs/>
                                <w:color w:val="000000"/>
                                <w:sz w:val="16"/>
                                <w:szCs w:val="16"/>
                              </w:rPr>
                            </w:pPr>
                            <w:r w:rsidRPr="00C1306C">
                              <w:rPr>
                                <w:rFonts w:ascii="Calibri" w:eastAsia="Calibri" w:hAnsi="Calibri" w:cs="Calibri"/>
                                <w:b/>
                                <w:bCs/>
                                <w:sz w:val="16"/>
                                <w:szCs w:val="16"/>
                              </w:rPr>
                              <w:t xml:space="preserve">Sustainable investment </w:t>
                            </w:r>
                            <w:r w:rsidRPr="00C1306C">
                              <w:rPr>
                                <w:rFonts w:ascii="Calibri" w:eastAsia="Calibri" w:hAnsi="Calibri" w:cs="Calibri"/>
                                <w:sz w:val="16"/>
                                <w:szCs w:val="16"/>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51DD80C1" w14:textId="77777777" w:rsidR="00DA67DD" w:rsidRPr="00C1306C" w:rsidRDefault="00DA67DD" w:rsidP="00DA67DD">
                            <w:pPr>
                              <w:jc w:val="left"/>
                              <w:rPr>
                                <w:rFonts w:cs="Calibri"/>
                                <w:bCs/>
                                <w:color w:val="000000"/>
                                <w:sz w:val="16"/>
                                <w:szCs w:val="16"/>
                              </w:rPr>
                            </w:pPr>
                          </w:p>
                          <w:p w14:paraId="39A14115" w14:textId="77777777" w:rsidR="00DA67DD" w:rsidRPr="00C1306C" w:rsidRDefault="00DA67DD" w:rsidP="00DA67DD">
                            <w:pPr>
                              <w:jc w:val="left"/>
                              <w:rPr>
                                <w:rFonts w:cs="Calibri"/>
                                <w:bCs/>
                                <w:color w:val="000000"/>
                                <w:sz w:val="16"/>
                                <w:szCs w:val="16"/>
                              </w:rPr>
                            </w:pPr>
                          </w:p>
                          <w:p w14:paraId="7A4A9BB7" w14:textId="77777777" w:rsidR="00DA67DD" w:rsidRPr="00C1306C" w:rsidRDefault="00DA67DD" w:rsidP="00DA67DD">
                            <w:pPr>
                              <w:jc w:val="left"/>
                              <w:rPr>
                                <w:rFonts w:cs="Calibri"/>
                                <w:bCs/>
                                <w:color w:val="000000"/>
                                <w:sz w:val="16"/>
                                <w:szCs w:val="16"/>
                              </w:rPr>
                            </w:pPr>
                          </w:p>
                          <w:p w14:paraId="1B44BA90" w14:textId="77777777" w:rsidR="00DA67DD" w:rsidRPr="00C1306C" w:rsidRDefault="00DA67DD" w:rsidP="00DA67DD">
                            <w:pPr>
                              <w:jc w:val="left"/>
                              <w:rPr>
                                <w:rFonts w:cs="Calibri"/>
                                <w:bCs/>
                                <w:color w:val="000000"/>
                                <w:sz w:val="16"/>
                                <w:szCs w:val="16"/>
                              </w:rPr>
                            </w:pPr>
                          </w:p>
                          <w:p w14:paraId="36B5DC30" w14:textId="77777777" w:rsidR="00DA67DD" w:rsidRPr="00C1306C" w:rsidRDefault="00DA67DD" w:rsidP="00DA67DD">
                            <w:pPr>
                              <w:jc w:val="left"/>
                              <w:rPr>
                                <w:rFonts w:cs="Calibri"/>
                                <w:bCs/>
                                <w:color w:val="000000"/>
                                <w:sz w:val="16"/>
                                <w:szCs w:val="16"/>
                              </w:rPr>
                            </w:pPr>
                          </w:p>
                          <w:p w14:paraId="79CCE7EA" w14:textId="77777777" w:rsidR="00DA67DD" w:rsidRPr="00C1306C" w:rsidRDefault="00DA67DD" w:rsidP="00DA67DD">
                            <w:pPr>
                              <w:jc w:val="left"/>
                              <w:rPr>
                                <w:color w:val="000000"/>
                                <w:sz w:val="16"/>
                                <w:szCs w:val="16"/>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59AF" id="Rectangle 221" o:spid="_x0000_s1026" style="position:absolute;left:0;text-align:left;margin-left:4.4pt;margin-top:160.6pt;width:81.75pt;height:15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3dBewIAAOEEAAAOAAAAZHJzL2Uyb0RvYy54bWysVE1vGyEQvVfqf0Dcm/1IHDuW15HlyFWl&#13;&#10;NImUVDljlvUiAUMBe9f99R3YtdOmPVX1Ac/AMPPm8WYXt71W5CCcl2AqWlzklAjDoZZmV9FvL5tP&#13;&#10;M0p8YKZmCoyo6FF4erv8+GHR2bkooQVVC0cwifHzzla0DcHOs8zzVmjmL8AKg4cNOM0Cum6X1Y51&#13;&#10;mF2rrMzz66wDV1sHXHiPu3fDIV2m/E0jeHhsGi8CURVFbCGtLq3buGbLBZvvHLOt5CMM9g8oNJMG&#13;&#10;i55T3bHAyN7JP1JpyR14aMIFB51B00guUg/YTZG/6+a5ZVakXpAcb880+f+Xlj8cnu2TQxo66+ce&#13;&#10;zdhF3zgd/xEf6RNZxzNZog+E42aRX87KckIJx7Pi5mY6LRKd2dt163z4LECTaFTU4Wskktjh3gcs&#13;&#10;iaGnkFjNg5L1RiqVnKNfK0cODB8O37uGjhLFfMDNim7SL+VSe/0V6iHuZpLnJww+3U81fsurDOkQ&#13;&#10;bznFSMIZSq5RLKCpbV1Rb3aUMLVDLfPgUgEDEVLSSQR7x3w7VEtpBwFpGVDFSuqKzhDCGYQysRWR&#13;&#10;dDi2/EZztEK/7Ufut1AfnxxxMGjUW76RWO8ee35iDkWJeHHQwiMujQJsAkaLkhbcj7/tx3jUCp5S&#13;&#10;0qHIscHve+YEUvnFoIqKq6sIloTkXV4nxyWnnOB44dE2eVeTaYmO2es14IMUONSWJxN3XVAns3Gg&#13;&#10;X3EiV7EuHjHDsfpA5uiswzB+ONNcrFYpDGfBsnBvni2PySNpkeuX/pU5O6onoPAe4DQSbP5ORENs&#13;&#10;vGlgtQ/QyKSwSPLALEohOjhHSRTjzMdB/dVPUW9fpuVPAAAA//8DAFBLAwQUAAYACAAAACEAJCht&#13;&#10;meMAAAAOAQAADwAAAGRycy9kb3ducmV2LnhtbEyPS0/DMBCE70j8B2uRuFHnIZoozaaiVIhKwIFC&#13;&#10;79vYTaL6EcVuEv497gkuI61GO/NNuZ61YqMcXGcNQryIgElTW9GZBuH76+UhB+Y8GUHKGonwIx2s&#13;&#10;q9ubkgphJ/Mpx71vWAgxriCE1vu+4NzVrdTkFraXJngnO2jy4RwaLgaaQrhWPImiJdfUmdDQUi+f&#13;&#10;W1mf9xeN0O3Osdi8+132On2okbZvh3mTId7fzdtVkKcVMC9n//cB1w2BH6oAdrQXIxxTCHmg9whp&#13;&#10;EifArn6WpMCOCMv0MQdelfz/jOoXAAD//wMAUEsBAi0AFAAGAAgAAAAhALaDOJL+AAAA4QEAABMA&#13;&#10;AAAAAAAAAAAAAAAAAAAAAFtDb250ZW50X1R5cGVzXS54bWxQSwECLQAUAAYACAAAACEAOP0h/9YA&#13;&#10;AACUAQAACwAAAAAAAAAAAAAAAAAvAQAAX3JlbHMvLnJlbHNQSwECLQAUAAYACAAAACEAgx93QXsC&#13;&#10;AADhBAAADgAAAAAAAAAAAAAAAAAuAgAAZHJzL2Uyb0RvYy54bWxQSwECLQAUAAYACAAAACEAJCht&#13;&#10;meMAAAAOAQAADwAAAAAAAAAAAAAAAADVBAAAZHJzL2Rvd25yZXYueG1sUEsFBgAAAAAEAAQA8wAA&#13;&#10;AOUFAAAAAA==&#13;&#10;" fillcolor="#f2f2f2" stroked="f" strokeweight="1pt">
                <v:textbox inset="4mm,1mm,7mm">
                  <w:txbxContent>
                    <w:p w14:paraId="32A72905" w14:textId="77777777" w:rsidR="00DA67DD" w:rsidRPr="00C1306C" w:rsidRDefault="00DA67DD" w:rsidP="00DA67DD">
                      <w:pPr>
                        <w:ind w:left="-142" w:right="-268"/>
                        <w:jc w:val="left"/>
                        <w:rPr>
                          <w:rFonts w:cs="Calibri"/>
                          <w:bCs/>
                          <w:color w:val="000000"/>
                          <w:sz w:val="16"/>
                          <w:szCs w:val="16"/>
                        </w:rPr>
                      </w:pPr>
                      <w:r w:rsidRPr="00C1306C">
                        <w:rPr>
                          <w:rFonts w:ascii="Calibri" w:eastAsia="Calibri" w:hAnsi="Calibri" w:cs="Calibri"/>
                          <w:b/>
                          <w:bCs/>
                          <w:sz w:val="16"/>
                          <w:szCs w:val="16"/>
                        </w:rPr>
                        <w:t xml:space="preserve">Sustainable investment </w:t>
                      </w:r>
                      <w:r w:rsidRPr="00C1306C">
                        <w:rPr>
                          <w:rFonts w:ascii="Calibri" w:eastAsia="Calibri" w:hAnsi="Calibri" w:cs="Calibri"/>
                          <w:sz w:val="16"/>
                          <w:szCs w:val="16"/>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51DD80C1" w14:textId="77777777" w:rsidR="00DA67DD" w:rsidRPr="00C1306C" w:rsidRDefault="00DA67DD" w:rsidP="00DA67DD">
                      <w:pPr>
                        <w:jc w:val="left"/>
                        <w:rPr>
                          <w:rFonts w:cs="Calibri"/>
                          <w:bCs/>
                          <w:color w:val="000000"/>
                          <w:sz w:val="16"/>
                          <w:szCs w:val="16"/>
                        </w:rPr>
                      </w:pPr>
                    </w:p>
                    <w:p w14:paraId="39A14115" w14:textId="77777777" w:rsidR="00DA67DD" w:rsidRPr="00C1306C" w:rsidRDefault="00DA67DD" w:rsidP="00DA67DD">
                      <w:pPr>
                        <w:jc w:val="left"/>
                        <w:rPr>
                          <w:rFonts w:cs="Calibri"/>
                          <w:bCs/>
                          <w:color w:val="000000"/>
                          <w:sz w:val="16"/>
                          <w:szCs w:val="16"/>
                        </w:rPr>
                      </w:pPr>
                    </w:p>
                    <w:p w14:paraId="7A4A9BB7" w14:textId="77777777" w:rsidR="00DA67DD" w:rsidRPr="00C1306C" w:rsidRDefault="00DA67DD" w:rsidP="00DA67DD">
                      <w:pPr>
                        <w:jc w:val="left"/>
                        <w:rPr>
                          <w:rFonts w:cs="Calibri"/>
                          <w:bCs/>
                          <w:color w:val="000000"/>
                          <w:sz w:val="16"/>
                          <w:szCs w:val="16"/>
                        </w:rPr>
                      </w:pPr>
                    </w:p>
                    <w:p w14:paraId="1B44BA90" w14:textId="77777777" w:rsidR="00DA67DD" w:rsidRPr="00C1306C" w:rsidRDefault="00DA67DD" w:rsidP="00DA67DD">
                      <w:pPr>
                        <w:jc w:val="left"/>
                        <w:rPr>
                          <w:rFonts w:cs="Calibri"/>
                          <w:bCs/>
                          <w:color w:val="000000"/>
                          <w:sz w:val="16"/>
                          <w:szCs w:val="16"/>
                        </w:rPr>
                      </w:pPr>
                    </w:p>
                    <w:p w14:paraId="36B5DC30" w14:textId="77777777" w:rsidR="00DA67DD" w:rsidRPr="00C1306C" w:rsidRDefault="00DA67DD" w:rsidP="00DA67DD">
                      <w:pPr>
                        <w:jc w:val="left"/>
                        <w:rPr>
                          <w:rFonts w:cs="Calibri"/>
                          <w:bCs/>
                          <w:color w:val="000000"/>
                          <w:sz w:val="16"/>
                          <w:szCs w:val="16"/>
                        </w:rPr>
                      </w:pPr>
                    </w:p>
                    <w:p w14:paraId="79CCE7EA" w14:textId="77777777" w:rsidR="00DA67DD" w:rsidRPr="00C1306C" w:rsidRDefault="00DA67DD" w:rsidP="00DA67DD">
                      <w:pPr>
                        <w:jc w:val="left"/>
                        <w:rPr>
                          <w:color w:val="000000"/>
                          <w:sz w:val="16"/>
                          <w:szCs w:val="16"/>
                        </w:rPr>
                      </w:pPr>
                    </w:p>
                  </w:txbxContent>
                </v:textbox>
                <w10:wrap type="square" anchorx="page" anchory="margin"/>
              </v:rect>
            </w:pict>
          </mc:Fallback>
        </mc:AlternateContent>
      </w:r>
    </w:p>
    <w:p w14:paraId="1761FF7A" w14:textId="77777777" w:rsidR="00DA67DD" w:rsidRDefault="00DA67DD" w:rsidP="00DA67DD">
      <w:pPr>
        <w:rPr>
          <w:rFonts w:cs="Times New Roman"/>
        </w:rPr>
      </w:pPr>
    </w:p>
    <w:p w14:paraId="2592A624" w14:textId="044D536B" w:rsidR="00DA67DD" w:rsidRDefault="00DA67DD" w:rsidP="00DA67DD">
      <w:pPr>
        <w:spacing w:after="80"/>
        <w:rPr>
          <w:rFonts w:cs="Times New Roman"/>
          <w:i/>
        </w:rPr>
      </w:pPr>
      <w:r w:rsidRPr="003A1C01">
        <w:rPr>
          <w:rFonts w:ascii="Calibri" w:eastAsia="Calibri" w:hAnsi="Calibri"/>
          <w:b/>
          <w:noProof/>
        </w:rPr>
        <mc:AlternateContent>
          <mc:Choice Requires="wps">
            <w:drawing>
              <wp:anchor distT="0" distB="0" distL="114300" distR="114300" simplePos="0" relativeHeight="251672576" behindDoc="0" locked="0" layoutInCell="1" allowOverlap="1" wp14:anchorId="04FDB227" wp14:editId="13A83892">
                <wp:simplePos x="0" y="0"/>
                <wp:positionH relativeFrom="page">
                  <wp:posOffset>55880</wp:posOffset>
                </wp:positionH>
                <wp:positionV relativeFrom="margin">
                  <wp:posOffset>4092081</wp:posOffset>
                </wp:positionV>
                <wp:extent cx="1038225" cy="2472055"/>
                <wp:effectExtent l="0" t="0" r="3175" b="4445"/>
                <wp:wrapSquare wrapText="bothSides"/>
                <wp:docPr id="37" name="Rectangle 37"/>
                <wp:cNvGraphicFramePr/>
                <a:graphic xmlns:a="http://schemas.openxmlformats.org/drawingml/2006/main">
                  <a:graphicData uri="http://schemas.microsoft.com/office/word/2010/wordprocessingShape">
                    <wps:wsp>
                      <wps:cNvSpPr/>
                      <wps:spPr>
                        <a:xfrm>
                          <a:off x="0" y="0"/>
                          <a:ext cx="1038225" cy="2472055"/>
                        </a:xfrm>
                        <a:prstGeom prst="rect">
                          <a:avLst/>
                        </a:prstGeom>
                        <a:solidFill>
                          <a:sysClr val="window" lastClr="FFFFFF">
                            <a:lumMod val="95000"/>
                          </a:sysClr>
                        </a:solidFill>
                        <a:ln w="12700" cap="flat" cmpd="sng" algn="ctr">
                          <a:noFill/>
                          <a:prstDash val="solid"/>
                          <a:miter lim="800000"/>
                        </a:ln>
                        <a:effectLst/>
                      </wps:spPr>
                      <wps:txbx>
                        <w:txbxContent>
                          <w:p w14:paraId="5CE8531C" w14:textId="77777777" w:rsidR="00DA67DD" w:rsidRPr="00C1306C" w:rsidRDefault="00DA67DD" w:rsidP="00DA67DD">
                            <w:pPr>
                              <w:ind w:left="-142" w:right="-295"/>
                              <w:jc w:val="left"/>
                              <w:rPr>
                                <w:rFonts w:asciiTheme="minorHAnsi" w:hAnsiTheme="minorHAnsi" w:cstheme="minorHAnsi"/>
                                <w:bCs/>
                                <w:color w:val="000000"/>
                                <w:sz w:val="16"/>
                                <w:szCs w:val="16"/>
                              </w:rPr>
                            </w:pPr>
                            <w:r w:rsidRPr="00C1306C">
                              <w:rPr>
                                <w:rFonts w:asciiTheme="minorHAnsi" w:hAnsiTheme="minorHAnsi" w:cstheme="minorHAnsi"/>
                                <w:bCs/>
                                <w:color w:val="000000"/>
                                <w:sz w:val="16"/>
                                <w:szCs w:val="16"/>
                              </w:rPr>
                              <w:t xml:space="preserve">The </w:t>
                            </w:r>
                            <w:r w:rsidRPr="00C1306C">
                              <w:rPr>
                                <w:rFonts w:asciiTheme="minorHAnsi" w:hAnsiTheme="minorHAnsi" w:cstheme="minorHAnsi"/>
                                <w:b/>
                                <w:bCs/>
                                <w:color w:val="000000"/>
                                <w:sz w:val="16"/>
                                <w:szCs w:val="16"/>
                              </w:rPr>
                              <w:t xml:space="preserve">EU Taxonomy </w:t>
                            </w:r>
                            <w:r w:rsidRPr="00C1306C">
                              <w:rPr>
                                <w:rFonts w:asciiTheme="minorHAnsi" w:hAnsiTheme="minorHAnsi" w:cstheme="minorHAnsi"/>
                                <w:bCs/>
                                <w:color w:val="000000"/>
                                <w:sz w:val="16"/>
                                <w:szCs w:val="16"/>
                              </w:rPr>
                              <w:t xml:space="preserve">is a classification system laid down in Regulation (EU) 2020/852, establishing a list of </w:t>
                            </w:r>
                            <w:r w:rsidRPr="00C1306C">
                              <w:rPr>
                                <w:rFonts w:asciiTheme="minorHAnsi" w:hAnsiTheme="minorHAnsi" w:cstheme="minorHAnsi"/>
                                <w:b/>
                                <w:bCs/>
                                <w:color w:val="000000"/>
                                <w:sz w:val="16"/>
                                <w:szCs w:val="16"/>
                              </w:rPr>
                              <w:t>environmentally sustainable economic activities</w:t>
                            </w:r>
                            <w:r w:rsidRPr="00C1306C">
                              <w:rPr>
                                <w:rFonts w:asciiTheme="minorHAnsi" w:hAnsiTheme="minorHAnsi" w:cstheme="minorHAnsi"/>
                                <w:bCs/>
                                <w:color w:val="000000"/>
                                <w:sz w:val="16"/>
                                <w:szCs w:val="16"/>
                              </w:rPr>
                              <w:t xml:space="preserve">. That Regulation does not include a list of socially sustainable economic activities.  Sustainable investments with an environmental objective might be aligned with the Taxonomy or not.  </w:t>
                            </w:r>
                          </w:p>
                          <w:p w14:paraId="57C92E4A" w14:textId="77777777" w:rsidR="00DA67DD" w:rsidRPr="00C1306C" w:rsidRDefault="00DA67DD" w:rsidP="00DA67DD">
                            <w:pPr>
                              <w:jc w:val="left"/>
                              <w:rPr>
                                <w:rFonts w:cs="Calibri"/>
                                <w:bCs/>
                                <w:color w:val="000000"/>
                                <w:sz w:val="16"/>
                                <w:szCs w:val="16"/>
                              </w:rPr>
                            </w:pPr>
                          </w:p>
                          <w:p w14:paraId="5C01B3E8" w14:textId="77777777" w:rsidR="00DA67DD" w:rsidRPr="00C1306C" w:rsidRDefault="00DA67DD" w:rsidP="00DA67DD">
                            <w:pPr>
                              <w:jc w:val="left"/>
                              <w:rPr>
                                <w:rFonts w:cs="Calibri"/>
                                <w:bCs/>
                                <w:color w:val="000000"/>
                                <w:sz w:val="16"/>
                                <w:szCs w:val="16"/>
                              </w:rPr>
                            </w:pPr>
                          </w:p>
                          <w:p w14:paraId="485FC21E" w14:textId="77777777" w:rsidR="00DA67DD" w:rsidRPr="00C1306C" w:rsidRDefault="00DA67DD" w:rsidP="00DA67DD">
                            <w:pPr>
                              <w:jc w:val="left"/>
                              <w:rPr>
                                <w:rFonts w:cs="Calibri"/>
                                <w:bCs/>
                                <w:color w:val="000000"/>
                                <w:sz w:val="16"/>
                                <w:szCs w:val="16"/>
                              </w:rPr>
                            </w:pPr>
                          </w:p>
                          <w:p w14:paraId="1CA6D5E3" w14:textId="77777777" w:rsidR="00DA67DD" w:rsidRPr="00C1306C" w:rsidRDefault="00DA67DD" w:rsidP="00DA67DD">
                            <w:pPr>
                              <w:jc w:val="left"/>
                              <w:rPr>
                                <w:rFonts w:cs="Calibri"/>
                                <w:bCs/>
                                <w:color w:val="000000"/>
                                <w:sz w:val="16"/>
                                <w:szCs w:val="16"/>
                              </w:rPr>
                            </w:pPr>
                          </w:p>
                          <w:p w14:paraId="476828E6" w14:textId="77777777" w:rsidR="00DA67DD" w:rsidRPr="00C1306C" w:rsidRDefault="00DA67DD" w:rsidP="00DA67DD">
                            <w:pPr>
                              <w:jc w:val="left"/>
                              <w:rPr>
                                <w:rFonts w:cs="Calibri"/>
                                <w:bCs/>
                                <w:color w:val="000000"/>
                                <w:sz w:val="16"/>
                                <w:szCs w:val="16"/>
                              </w:rPr>
                            </w:pPr>
                          </w:p>
                          <w:p w14:paraId="01F5EBAE" w14:textId="77777777" w:rsidR="00DA67DD" w:rsidRPr="00C1306C" w:rsidRDefault="00DA67DD" w:rsidP="00DA67DD">
                            <w:pPr>
                              <w:jc w:val="left"/>
                              <w:rPr>
                                <w:color w:val="000000"/>
                                <w:sz w:val="16"/>
                                <w:szCs w:val="16"/>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B227" id="Rectangle 37" o:spid="_x0000_s1027" style="position:absolute;left:0;text-align:left;margin-left:4.4pt;margin-top:322.2pt;width:81.75pt;height:194.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rEOfwIAAOgEAAAOAAAAZHJzL2Uyb0RvYy54bWysVMFu2zAMvQ/YPwi6r3bcpOuCOkXQIsOA&#13;&#10;ri3QDj0rshwLkESNUmJnXz9KTpOt22lYDgopUeTj06Ovrgdr2E5h0OBqPjkrOVNOQqPdpubfnlcf&#13;&#10;LjkLUbhGGHCq5nsV+PXi/bur3s9VBR2YRiGjJC7Me1/zLkY/L4ogO2VFOAOvHB22gFZEcnFTNCh6&#13;&#10;ym5NUZXlRdEDNh5BqhBo93Y85Iucv22VjA9tG1RkpuaELeYV87pOa7G4EvMNCt9peYAh/gGFFdpR&#13;&#10;0WOqWxEF26L+I5XVEiFAG88k2ALaVkuVe6BuJuWbbp464VXuhcgJ/khT+H9p5f3uyT8i0dD7MA9k&#13;&#10;pi6GFm36J3xsyGTtj2SpITJJm5Py/LKqZpxJOqumH6tyNkt0FqfrHkP8rMCyZNQc6TUySWJ3F+IY&#13;&#10;+hqSqgUwullpY7KzDzcG2U7Qw9F7N9BzZkSItFnzVf7lXGZrv0Izxn2alWV+UsIQ8v0M57e8xrGe&#13;&#10;wFcfKZJJQZJrjYhkWt/UPLgNZ8JsSMsyYi7gIEHKOklgb0Xoxmo57SggqyOp2Ghb80uCcARhXGpF&#13;&#10;ZR0eWj7RnKw4rAemqfAkJUo7a2j2j8gQRqkGL1eayt5R648CSZsEm+YtPtDSGqBe4GBx1gH++Nt+&#13;&#10;iifJ0ClnPWmd+vy+FaiI0S+OxDSZThNmFrN3fpEdzE41oymjo3X2pjN6Zs7c1t4AvcuEZtvLbNIu&#13;&#10;RvNqtgj2hQZzmerSkXCSqo+cHpybOE4hjbZUy2UOo5HwIt65Jy9T8sRdovx5eBHoDyKKpL97eJ0M&#13;&#10;MX+jpTE23XSw3EZodRbaiVlSRHJonLI2DqOf5vVXP0edPlCLnwAAAP//AwBQSwMEFAAGAAgAAAAh&#13;&#10;AFXHq3rkAAAADwEAAA8AAABkcnMvZG93bnJldi54bWxMj0FPwzAMhe9I/IfISNxYurVap67pxJgQ&#13;&#10;kxgHBty9xrTVGqdqsrb8e7ITXCxbT+/5e/lmMq0YqHeNZQXzWQSCuLS64UrB58fzwwqE88gaW8uk&#13;&#10;4IccbIrbmxwzbUd+p+HoKxFC2GWooPa+y6R0ZU0G3cx2xEH7tr1BH86+krrHMYSbVi6iaCkNNhw+&#13;&#10;1NjRU03l+XgxCpr9ea63B79PX8a3dsDd69e0TZW6v5t26zAe1yA8Tf7PAdcOgR+KAHayF9ZOtApW&#13;&#10;gd4rWCZJAuKqp4sYxCksURynIItc/u9R/AIAAP//AwBQSwECLQAUAAYACAAAACEAtoM4kv4AAADh&#13;&#10;AQAAEwAAAAAAAAAAAAAAAAAAAAAAW0NvbnRlbnRfVHlwZXNdLnhtbFBLAQItABQABgAIAAAAIQA4&#13;&#10;/SH/1gAAAJQBAAALAAAAAAAAAAAAAAAAAC8BAABfcmVscy8ucmVsc1BLAQItABQABgAIAAAAIQCb&#13;&#10;drEOfwIAAOgEAAAOAAAAAAAAAAAAAAAAAC4CAABkcnMvZTJvRG9jLnhtbFBLAQItABQABgAIAAAA&#13;&#10;IQBVx6t65AAAAA8BAAAPAAAAAAAAAAAAAAAAANkEAABkcnMvZG93bnJldi54bWxQSwUGAAAAAAQA&#13;&#10;BADzAAAA6gUAAAAA&#13;&#10;" fillcolor="#f2f2f2" stroked="f" strokeweight="1pt">
                <v:textbox inset="4mm,1mm,7mm">
                  <w:txbxContent>
                    <w:p w14:paraId="5CE8531C" w14:textId="77777777" w:rsidR="00DA67DD" w:rsidRPr="00C1306C" w:rsidRDefault="00DA67DD" w:rsidP="00DA67DD">
                      <w:pPr>
                        <w:ind w:left="-142" w:right="-295"/>
                        <w:jc w:val="left"/>
                        <w:rPr>
                          <w:rFonts w:asciiTheme="minorHAnsi" w:hAnsiTheme="minorHAnsi" w:cstheme="minorHAnsi"/>
                          <w:bCs/>
                          <w:color w:val="000000"/>
                          <w:sz w:val="16"/>
                          <w:szCs w:val="16"/>
                        </w:rPr>
                      </w:pPr>
                      <w:r w:rsidRPr="00C1306C">
                        <w:rPr>
                          <w:rFonts w:asciiTheme="minorHAnsi" w:hAnsiTheme="minorHAnsi" w:cstheme="minorHAnsi"/>
                          <w:bCs/>
                          <w:color w:val="000000"/>
                          <w:sz w:val="16"/>
                          <w:szCs w:val="16"/>
                        </w:rPr>
                        <w:t xml:space="preserve">The </w:t>
                      </w:r>
                      <w:r w:rsidRPr="00C1306C">
                        <w:rPr>
                          <w:rFonts w:asciiTheme="minorHAnsi" w:hAnsiTheme="minorHAnsi" w:cstheme="minorHAnsi"/>
                          <w:b/>
                          <w:bCs/>
                          <w:color w:val="000000"/>
                          <w:sz w:val="16"/>
                          <w:szCs w:val="16"/>
                        </w:rPr>
                        <w:t xml:space="preserve">EU Taxonomy </w:t>
                      </w:r>
                      <w:r w:rsidRPr="00C1306C">
                        <w:rPr>
                          <w:rFonts w:asciiTheme="minorHAnsi" w:hAnsiTheme="minorHAnsi" w:cstheme="minorHAnsi"/>
                          <w:bCs/>
                          <w:color w:val="000000"/>
                          <w:sz w:val="16"/>
                          <w:szCs w:val="16"/>
                        </w:rPr>
                        <w:t xml:space="preserve">is a classification system laid down in Regulation (EU) 2020/852, establishing a list of </w:t>
                      </w:r>
                      <w:r w:rsidRPr="00C1306C">
                        <w:rPr>
                          <w:rFonts w:asciiTheme="minorHAnsi" w:hAnsiTheme="minorHAnsi" w:cstheme="minorHAnsi"/>
                          <w:b/>
                          <w:bCs/>
                          <w:color w:val="000000"/>
                          <w:sz w:val="16"/>
                          <w:szCs w:val="16"/>
                        </w:rPr>
                        <w:t>environmentally sustainable economic activities</w:t>
                      </w:r>
                      <w:r w:rsidRPr="00C1306C">
                        <w:rPr>
                          <w:rFonts w:asciiTheme="minorHAnsi" w:hAnsiTheme="minorHAnsi" w:cstheme="minorHAnsi"/>
                          <w:bCs/>
                          <w:color w:val="000000"/>
                          <w:sz w:val="16"/>
                          <w:szCs w:val="16"/>
                        </w:rPr>
                        <w:t xml:space="preserve">. That Regulation does not include a list of socially sustainable economic activities.  Sustainable investments with an environmental objective might be aligned with the Taxonomy or not.  </w:t>
                      </w:r>
                    </w:p>
                    <w:p w14:paraId="57C92E4A" w14:textId="77777777" w:rsidR="00DA67DD" w:rsidRPr="00C1306C" w:rsidRDefault="00DA67DD" w:rsidP="00DA67DD">
                      <w:pPr>
                        <w:jc w:val="left"/>
                        <w:rPr>
                          <w:rFonts w:cs="Calibri"/>
                          <w:bCs/>
                          <w:color w:val="000000"/>
                          <w:sz w:val="16"/>
                          <w:szCs w:val="16"/>
                        </w:rPr>
                      </w:pPr>
                    </w:p>
                    <w:p w14:paraId="5C01B3E8" w14:textId="77777777" w:rsidR="00DA67DD" w:rsidRPr="00C1306C" w:rsidRDefault="00DA67DD" w:rsidP="00DA67DD">
                      <w:pPr>
                        <w:jc w:val="left"/>
                        <w:rPr>
                          <w:rFonts w:cs="Calibri"/>
                          <w:bCs/>
                          <w:color w:val="000000"/>
                          <w:sz w:val="16"/>
                          <w:szCs w:val="16"/>
                        </w:rPr>
                      </w:pPr>
                    </w:p>
                    <w:p w14:paraId="485FC21E" w14:textId="77777777" w:rsidR="00DA67DD" w:rsidRPr="00C1306C" w:rsidRDefault="00DA67DD" w:rsidP="00DA67DD">
                      <w:pPr>
                        <w:jc w:val="left"/>
                        <w:rPr>
                          <w:rFonts w:cs="Calibri"/>
                          <w:bCs/>
                          <w:color w:val="000000"/>
                          <w:sz w:val="16"/>
                          <w:szCs w:val="16"/>
                        </w:rPr>
                      </w:pPr>
                    </w:p>
                    <w:p w14:paraId="1CA6D5E3" w14:textId="77777777" w:rsidR="00DA67DD" w:rsidRPr="00C1306C" w:rsidRDefault="00DA67DD" w:rsidP="00DA67DD">
                      <w:pPr>
                        <w:jc w:val="left"/>
                        <w:rPr>
                          <w:rFonts w:cs="Calibri"/>
                          <w:bCs/>
                          <w:color w:val="000000"/>
                          <w:sz w:val="16"/>
                          <w:szCs w:val="16"/>
                        </w:rPr>
                      </w:pPr>
                    </w:p>
                    <w:p w14:paraId="476828E6" w14:textId="77777777" w:rsidR="00DA67DD" w:rsidRPr="00C1306C" w:rsidRDefault="00DA67DD" w:rsidP="00DA67DD">
                      <w:pPr>
                        <w:jc w:val="left"/>
                        <w:rPr>
                          <w:rFonts w:cs="Calibri"/>
                          <w:bCs/>
                          <w:color w:val="000000"/>
                          <w:sz w:val="16"/>
                          <w:szCs w:val="16"/>
                        </w:rPr>
                      </w:pPr>
                    </w:p>
                    <w:p w14:paraId="01F5EBAE" w14:textId="77777777" w:rsidR="00DA67DD" w:rsidRPr="00C1306C" w:rsidRDefault="00DA67DD" w:rsidP="00DA67DD">
                      <w:pPr>
                        <w:jc w:val="left"/>
                        <w:rPr>
                          <w:color w:val="000000"/>
                          <w:sz w:val="16"/>
                          <w:szCs w:val="16"/>
                        </w:rPr>
                      </w:pPr>
                    </w:p>
                  </w:txbxContent>
                </v:textbox>
                <w10:wrap type="square" anchorx="page" anchory="margin"/>
              </v:rect>
            </w:pict>
          </mc:Fallback>
        </mc:AlternateContent>
      </w:r>
    </w:p>
    <w:tbl>
      <w:tblPr>
        <w:tblpPr w:leftFromText="141" w:rightFromText="141" w:vertAnchor="text" w:horzAnchor="page" w:tblpX="2201" w:tblpY="147"/>
        <w:tblW w:w="9075" w:type="dxa"/>
        <w:tblBorders>
          <w:top w:val="nil"/>
          <w:left w:val="nil"/>
          <w:bottom w:val="nil"/>
          <w:right w:val="nil"/>
          <w:insideH w:val="nil"/>
          <w:insideV w:val="nil"/>
        </w:tblBorders>
        <w:tblLayout w:type="fixed"/>
        <w:tblLook w:val="0600" w:firstRow="0" w:lastRow="0" w:firstColumn="0" w:lastColumn="0" w:noHBand="1" w:noVBand="1"/>
      </w:tblPr>
      <w:tblGrid>
        <w:gridCol w:w="3690"/>
        <w:gridCol w:w="5385"/>
      </w:tblGrid>
      <w:tr w:rsidR="00DA67DD" w:rsidRPr="0083292E" w14:paraId="42586055" w14:textId="77777777" w:rsidTr="00491FD5">
        <w:trPr>
          <w:trHeight w:val="575"/>
        </w:trPr>
        <w:tc>
          <w:tcPr>
            <w:tcW w:w="9075" w:type="dxa"/>
            <w:gridSpan w:val="2"/>
            <w:tcBorders>
              <w:top w:val="nil"/>
              <w:left w:val="nil"/>
              <w:bottom w:val="nil"/>
              <w:right w:val="nil"/>
            </w:tcBorders>
            <w:shd w:val="clear" w:color="auto" w:fill="4472C4" w:themeFill="accent1"/>
            <w:tcMar>
              <w:top w:w="100" w:type="dxa"/>
              <w:left w:w="100" w:type="dxa"/>
              <w:bottom w:w="100" w:type="dxa"/>
              <w:right w:w="100" w:type="dxa"/>
            </w:tcMar>
          </w:tcPr>
          <w:p w14:paraId="05FC7D1C" w14:textId="77777777" w:rsidR="00DA67DD" w:rsidRPr="0083292E" w:rsidRDefault="00DA67DD" w:rsidP="00491FD5">
            <w:pPr>
              <w:spacing w:line="252" w:lineRule="auto"/>
              <w:rPr>
                <w:rFonts w:cs="Times New Roman"/>
                <w:b/>
                <w:sz w:val="20"/>
                <w:szCs w:val="20"/>
              </w:rPr>
            </w:pPr>
            <w:r w:rsidRPr="0083292E">
              <w:rPr>
                <w:rFonts w:cs="Times New Roman"/>
                <w:b/>
                <w:sz w:val="20"/>
                <w:szCs w:val="20"/>
              </w:rPr>
              <w:t>Does this financial product have a sustainable investment objective</w:t>
            </w:r>
            <w:r>
              <w:rPr>
                <w:rFonts w:cs="Times New Roman"/>
                <w:b/>
                <w:sz w:val="20"/>
                <w:szCs w:val="20"/>
                <w:vertAlign w:val="superscript"/>
              </w:rPr>
              <w:t xml:space="preserve"> </w:t>
            </w:r>
            <w:r w:rsidRPr="0083292E">
              <w:rPr>
                <w:rFonts w:cs="Times New Roman"/>
                <w:b/>
                <w:sz w:val="20"/>
                <w:szCs w:val="20"/>
              </w:rPr>
              <w:t xml:space="preserve">?  </w:t>
            </w:r>
          </w:p>
        </w:tc>
      </w:tr>
      <w:tr w:rsidR="00DA67DD" w:rsidRPr="0083292E" w14:paraId="448464B2" w14:textId="77777777" w:rsidTr="00491FD5">
        <w:trPr>
          <w:trHeight w:val="435"/>
        </w:trPr>
        <w:tc>
          <w:tcPr>
            <w:tcW w:w="3690" w:type="dxa"/>
            <w:tcBorders>
              <w:top w:val="nil"/>
              <w:left w:val="nil"/>
              <w:bottom w:val="nil"/>
              <w:right w:val="nil"/>
            </w:tcBorders>
            <w:shd w:val="clear" w:color="auto" w:fill="4472C4" w:themeFill="accent1"/>
            <w:tcMar>
              <w:top w:w="100" w:type="dxa"/>
              <w:left w:w="100" w:type="dxa"/>
              <w:bottom w:w="100" w:type="dxa"/>
              <w:right w:w="100" w:type="dxa"/>
            </w:tcMar>
          </w:tcPr>
          <w:p w14:paraId="53746974" w14:textId="77777777" w:rsidR="00DA67DD" w:rsidRPr="0083292E" w:rsidRDefault="00DA67DD" w:rsidP="00DA67DD">
            <w:pPr>
              <w:numPr>
                <w:ilvl w:val="0"/>
                <w:numId w:val="3"/>
              </w:numPr>
              <w:spacing w:line="252" w:lineRule="auto"/>
              <w:rPr>
                <w:rFonts w:cs="Times New Roman"/>
                <w:sz w:val="20"/>
                <w:szCs w:val="20"/>
              </w:rPr>
            </w:pPr>
            <w:r w:rsidRPr="0083292E">
              <w:rPr>
                <w:rFonts w:eastAsia="SimSun"/>
                <w:noProof/>
                <w:sz w:val="20"/>
                <w:szCs w:val="20"/>
                <w:lang w:val="fr-BE" w:eastAsia="en-GB"/>
              </w:rPr>
              <w:fldChar w:fldCharType="begin">
                <w:ffData>
                  <w:name w:val=""/>
                  <w:enabled/>
                  <w:calcOnExit w:val="0"/>
                  <w:checkBox>
                    <w:sizeAuto/>
                    <w:default w:val="0"/>
                  </w:checkBox>
                </w:ffData>
              </w:fldChar>
            </w:r>
            <w:r w:rsidRPr="0083292E">
              <w:rPr>
                <w:rFonts w:eastAsia="SimSun"/>
                <w:noProof/>
                <w:sz w:val="20"/>
                <w:szCs w:val="20"/>
                <w:lang w:val="fr-BE" w:eastAsia="en-GB"/>
              </w:rPr>
              <w:instrText xml:space="preserve"> FORMCHECKBOX </w:instrText>
            </w:r>
            <w:r w:rsidRPr="0083292E">
              <w:rPr>
                <w:rFonts w:eastAsia="SimSun"/>
                <w:noProof/>
                <w:sz w:val="20"/>
                <w:szCs w:val="20"/>
                <w:lang w:val="fr-BE" w:eastAsia="en-GB"/>
              </w:rPr>
            </w:r>
            <w:r w:rsidRPr="0083292E">
              <w:rPr>
                <w:rFonts w:eastAsia="SimSun"/>
                <w:noProof/>
                <w:sz w:val="20"/>
                <w:szCs w:val="20"/>
                <w:lang w:val="fr-BE" w:eastAsia="en-GB"/>
              </w:rPr>
              <w:fldChar w:fldCharType="separate"/>
            </w:r>
            <w:r w:rsidRPr="0083292E">
              <w:rPr>
                <w:rFonts w:eastAsia="SimSun"/>
                <w:noProof/>
                <w:sz w:val="20"/>
                <w:szCs w:val="20"/>
                <w:lang w:val="fr-BE" w:eastAsia="en-GB"/>
              </w:rPr>
              <w:fldChar w:fldCharType="end"/>
            </w:r>
            <w:r w:rsidRPr="0083292E">
              <w:rPr>
                <w:rFonts w:cs="Times New Roman"/>
                <w:sz w:val="20"/>
                <w:szCs w:val="20"/>
              </w:rPr>
              <w:t xml:space="preserve"> Yes (Article 9)</w:t>
            </w:r>
          </w:p>
        </w:tc>
        <w:tc>
          <w:tcPr>
            <w:tcW w:w="5385" w:type="dxa"/>
            <w:tcBorders>
              <w:top w:val="nil"/>
              <w:left w:val="nil"/>
              <w:bottom w:val="nil"/>
              <w:right w:val="nil"/>
            </w:tcBorders>
            <w:shd w:val="clear" w:color="auto" w:fill="4472C4" w:themeFill="accent1"/>
            <w:tcMar>
              <w:top w:w="100" w:type="dxa"/>
              <w:left w:w="100" w:type="dxa"/>
              <w:bottom w:w="100" w:type="dxa"/>
              <w:right w:w="100" w:type="dxa"/>
            </w:tcMar>
          </w:tcPr>
          <w:p w14:paraId="33FE7968" w14:textId="77777777" w:rsidR="00DA67DD" w:rsidRPr="0083292E" w:rsidRDefault="00DA67DD" w:rsidP="00DA67DD">
            <w:pPr>
              <w:numPr>
                <w:ilvl w:val="0"/>
                <w:numId w:val="13"/>
              </w:numPr>
              <w:spacing w:line="252" w:lineRule="auto"/>
              <w:rPr>
                <w:rFonts w:cs="Times New Roman"/>
                <w:sz w:val="20"/>
                <w:szCs w:val="20"/>
              </w:rPr>
            </w:pPr>
            <w:r w:rsidRPr="0083292E">
              <w:rPr>
                <w:rFonts w:eastAsia="SimSun"/>
                <w:noProof/>
                <w:sz w:val="20"/>
                <w:szCs w:val="20"/>
                <w:lang w:val="fr-BE" w:eastAsia="en-GB"/>
              </w:rPr>
              <w:fldChar w:fldCharType="begin">
                <w:ffData>
                  <w:name w:val=""/>
                  <w:enabled/>
                  <w:calcOnExit w:val="0"/>
                  <w:checkBox>
                    <w:sizeAuto/>
                    <w:default w:val="1"/>
                  </w:checkBox>
                </w:ffData>
              </w:fldChar>
            </w:r>
            <w:r w:rsidRPr="0083292E">
              <w:rPr>
                <w:rFonts w:eastAsia="SimSun"/>
                <w:noProof/>
                <w:sz w:val="20"/>
                <w:szCs w:val="20"/>
                <w:lang w:val="fr-BE" w:eastAsia="en-GB"/>
              </w:rPr>
              <w:instrText xml:space="preserve"> FORMCHECKBOX </w:instrText>
            </w:r>
            <w:r w:rsidRPr="0083292E">
              <w:rPr>
                <w:rFonts w:eastAsia="SimSun"/>
                <w:noProof/>
                <w:sz w:val="20"/>
                <w:szCs w:val="20"/>
                <w:lang w:val="fr-BE" w:eastAsia="en-GB"/>
              </w:rPr>
            </w:r>
            <w:r w:rsidRPr="0083292E">
              <w:rPr>
                <w:rFonts w:eastAsia="SimSun"/>
                <w:noProof/>
                <w:sz w:val="20"/>
                <w:szCs w:val="20"/>
                <w:lang w:val="fr-BE" w:eastAsia="en-GB"/>
              </w:rPr>
              <w:fldChar w:fldCharType="separate"/>
            </w:r>
            <w:r w:rsidRPr="0083292E">
              <w:rPr>
                <w:rFonts w:eastAsia="SimSun"/>
                <w:noProof/>
                <w:sz w:val="20"/>
                <w:szCs w:val="20"/>
                <w:lang w:val="fr-BE" w:eastAsia="en-GB"/>
              </w:rPr>
              <w:fldChar w:fldCharType="end"/>
            </w:r>
            <w:r w:rsidRPr="0083292E">
              <w:rPr>
                <w:rFonts w:eastAsia="SimSun"/>
                <w:noProof/>
                <w:sz w:val="20"/>
                <w:szCs w:val="20"/>
                <w:lang w:val="fr-BE" w:eastAsia="en-GB"/>
              </w:rPr>
              <w:t xml:space="preserve"> </w:t>
            </w:r>
            <w:r w:rsidRPr="0083292E">
              <w:rPr>
                <w:rFonts w:cs="Times New Roman"/>
                <w:sz w:val="20"/>
                <w:szCs w:val="20"/>
              </w:rPr>
              <w:t xml:space="preserve"> No (Article 8)</w:t>
            </w:r>
          </w:p>
        </w:tc>
      </w:tr>
      <w:tr w:rsidR="00DA67DD" w:rsidRPr="0083292E" w14:paraId="1F05DC7F" w14:textId="77777777" w:rsidTr="00491FD5">
        <w:trPr>
          <w:trHeight w:val="3420"/>
        </w:trPr>
        <w:tc>
          <w:tcPr>
            <w:tcW w:w="3690" w:type="dxa"/>
            <w:tcBorders>
              <w:top w:val="nil"/>
              <w:left w:val="nil"/>
              <w:bottom w:val="nil"/>
              <w:right w:val="single" w:sz="8" w:space="0" w:color="B7B7B7"/>
            </w:tcBorders>
            <w:shd w:val="clear" w:color="auto" w:fill="D9E2F3" w:themeFill="accent1" w:themeFillTint="33"/>
            <w:tcMar>
              <w:top w:w="100" w:type="dxa"/>
              <w:left w:w="100" w:type="dxa"/>
              <w:bottom w:w="100" w:type="dxa"/>
              <w:right w:w="100" w:type="dxa"/>
            </w:tcMar>
          </w:tcPr>
          <w:p w14:paraId="2617D94E" w14:textId="77777777" w:rsidR="00DA67DD" w:rsidRPr="0083292E" w:rsidRDefault="00DA67DD" w:rsidP="00491FD5">
            <w:pPr>
              <w:spacing w:line="252" w:lineRule="auto"/>
              <w:ind w:left="27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sz w:val="20"/>
                <w:szCs w:val="20"/>
              </w:rPr>
              <w:t xml:space="preserve"> </w:t>
            </w:r>
            <w:r w:rsidRPr="0083292E">
              <w:rPr>
                <w:rFonts w:cs="Times New Roman"/>
                <w:b/>
                <w:sz w:val="20"/>
                <w:szCs w:val="20"/>
              </w:rPr>
              <w:t xml:space="preserve">A. </w:t>
            </w:r>
            <w:r w:rsidRPr="0083292E">
              <w:rPr>
                <w:rFonts w:cs="Times New Roman"/>
                <w:sz w:val="20"/>
                <w:szCs w:val="20"/>
              </w:rPr>
              <w:t xml:space="preserve"> It will make a minimum of sustainable investments with an environmental objective: ___%</w:t>
            </w:r>
          </w:p>
          <w:p w14:paraId="7BF85A9A" w14:textId="77777777" w:rsidR="00DA67DD" w:rsidRPr="0083292E" w:rsidRDefault="00DA67DD" w:rsidP="00DA67DD">
            <w:pPr>
              <w:numPr>
                <w:ilvl w:val="1"/>
                <w:numId w:val="6"/>
              </w:numPr>
              <w:spacing w:line="252" w:lineRule="auto"/>
              <w:ind w:left="63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sz w:val="20"/>
                <w:szCs w:val="20"/>
              </w:rPr>
              <w:t xml:space="preserve"> </w:t>
            </w:r>
            <w:r w:rsidRPr="0083292E">
              <w:rPr>
                <w:rFonts w:cs="Times New Roman"/>
                <w:sz w:val="20"/>
                <w:szCs w:val="20"/>
              </w:rPr>
              <w:t>in economic activities that qualify as environmentally sustainable under the EU Taxonomy</w:t>
            </w:r>
          </w:p>
          <w:p w14:paraId="01B8BAEA" w14:textId="77777777" w:rsidR="00DA67DD" w:rsidRPr="0083292E" w:rsidRDefault="00DA67DD" w:rsidP="00DA67DD">
            <w:pPr>
              <w:numPr>
                <w:ilvl w:val="1"/>
                <w:numId w:val="6"/>
              </w:numPr>
              <w:spacing w:line="252" w:lineRule="auto"/>
              <w:ind w:left="63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sz w:val="20"/>
                <w:szCs w:val="20"/>
              </w:rPr>
              <w:t xml:space="preserve"> </w:t>
            </w:r>
            <w:r w:rsidRPr="0083292E">
              <w:rPr>
                <w:rFonts w:cs="Times New Roman"/>
                <w:sz w:val="20"/>
                <w:szCs w:val="20"/>
              </w:rPr>
              <w:t>in economic activities that do not qualify as environmentally sustainable under the EU Taxonomy</w:t>
            </w:r>
          </w:p>
          <w:p w14:paraId="26E744F4" w14:textId="77777777" w:rsidR="00DA67DD" w:rsidRPr="0083292E" w:rsidRDefault="00DA67DD" w:rsidP="00DA67DD">
            <w:pPr>
              <w:numPr>
                <w:ilvl w:val="0"/>
                <w:numId w:val="6"/>
              </w:numPr>
              <w:spacing w:line="252" w:lineRule="auto"/>
              <w:ind w:left="36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sz w:val="20"/>
                <w:szCs w:val="20"/>
              </w:rPr>
              <w:t xml:space="preserve"> </w:t>
            </w:r>
            <w:r w:rsidRPr="0083292E">
              <w:rPr>
                <w:rFonts w:cs="Times New Roman"/>
                <w:b/>
                <w:sz w:val="20"/>
                <w:szCs w:val="20"/>
              </w:rPr>
              <w:t xml:space="preserve">B. </w:t>
            </w:r>
            <w:r w:rsidRPr="0083292E">
              <w:rPr>
                <w:rFonts w:cs="Times New Roman"/>
                <w:sz w:val="20"/>
                <w:szCs w:val="20"/>
              </w:rPr>
              <w:t>it will make a minimum of sustainable investments with a social objective</w:t>
            </w:r>
            <w:r w:rsidRPr="0083292E">
              <w:rPr>
                <w:rFonts w:cs="Times New Roman"/>
                <w:b/>
                <w:sz w:val="20"/>
                <w:szCs w:val="20"/>
              </w:rPr>
              <w:t xml:space="preserve"> </w:t>
            </w:r>
            <w:r w:rsidRPr="0083292E">
              <w:rPr>
                <w:rFonts w:cs="Times New Roman"/>
                <w:sz w:val="20"/>
                <w:szCs w:val="20"/>
              </w:rPr>
              <w:t>: __%</w:t>
            </w:r>
          </w:p>
        </w:tc>
        <w:tc>
          <w:tcPr>
            <w:tcW w:w="5385" w:type="dxa"/>
            <w:tcBorders>
              <w:top w:val="nil"/>
              <w:left w:val="single" w:sz="8" w:space="0" w:color="B7B7B7"/>
              <w:bottom w:val="nil"/>
              <w:right w:val="nil"/>
            </w:tcBorders>
            <w:shd w:val="clear" w:color="auto" w:fill="D9E2F3" w:themeFill="accent1" w:themeFillTint="33"/>
            <w:tcMar>
              <w:top w:w="100" w:type="dxa"/>
              <w:left w:w="100" w:type="dxa"/>
              <w:bottom w:w="100" w:type="dxa"/>
              <w:right w:w="100" w:type="dxa"/>
            </w:tcMar>
          </w:tcPr>
          <w:p w14:paraId="114D02FD" w14:textId="77777777" w:rsidR="00DA67DD" w:rsidRPr="0083292E" w:rsidRDefault="00DA67DD" w:rsidP="00DA67DD">
            <w:pPr>
              <w:numPr>
                <w:ilvl w:val="0"/>
                <w:numId w:val="4"/>
              </w:numPr>
              <w:spacing w:line="252" w:lineRule="auto"/>
              <w:ind w:left="36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rFonts w:cs="Times New Roman"/>
                <w:b/>
                <w:sz w:val="20"/>
                <w:szCs w:val="20"/>
              </w:rPr>
              <w:t xml:space="preserve"> A.</w:t>
            </w:r>
            <w:r w:rsidRPr="0083292E">
              <w:rPr>
                <w:rFonts w:cs="Times New Roman"/>
                <w:sz w:val="20"/>
                <w:szCs w:val="20"/>
              </w:rPr>
              <w:t xml:space="preserve"> It promotes Environmental/Social (E/S) characterics and while it does not have as its objective a sustainable investment, it will have a minimum proportion of ____% of sustainable investments:</w:t>
            </w:r>
          </w:p>
          <w:p w14:paraId="52784CD2" w14:textId="77777777" w:rsidR="00DA67DD" w:rsidRPr="0083292E" w:rsidRDefault="00DA67DD" w:rsidP="00DA67DD">
            <w:pPr>
              <w:numPr>
                <w:ilvl w:val="0"/>
                <w:numId w:val="1"/>
              </w:numPr>
              <w:spacing w:line="252" w:lineRule="auto"/>
              <w:ind w:left="72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rFonts w:cs="Times New Roman"/>
                <w:sz w:val="20"/>
                <w:szCs w:val="20"/>
              </w:rPr>
              <w:t xml:space="preserve"> with an environmental objective in economic activites that qualify as environmentally sustainable under the EU Taxonomy</w:t>
            </w:r>
          </w:p>
          <w:p w14:paraId="6C27F4DF" w14:textId="77777777" w:rsidR="00DA67DD" w:rsidRPr="0083292E" w:rsidRDefault="00DA67DD" w:rsidP="00DA67DD">
            <w:pPr>
              <w:numPr>
                <w:ilvl w:val="0"/>
                <w:numId w:val="1"/>
              </w:numPr>
              <w:spacing w:line="252" w:lineRule="auto"/>
              <w:ind w:left="72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sz w:val="20"/>
                <w:szCs w:val="20"/>
              </w:rPr>
              <w:t xml:space="preserve"> </w:t>
            </w:r>
            <w:r w:rsidRPr="0083292E">
              <w:rPr>
                <w:rFonts w:cs="Times New Roman"/>
                <w:sz w:val="20"/>
                <w:szCs w:val="20"/>
              </w:rPr>
              <w:t>with an environmental objective in economic activities that do not qualify as environmentally sustainable udner the EU Taxonomy</w:t>
            </w:r>
          </w:p>
          <w:p w14:paraId="53E9EE05" w14:textId="77777777" w:rsidR="00DA67DD" w:rsidRPr="0083292E" w:rsidRDefault="00DA67DD" w:rsidP="00DA67DD">
            <w:pPr>
              <w:numPr>
                <w:ilvl w:val="0"/>
                <w:numId w:val="1"/>
              </w:numPr>
              <w:spacing w:line="252" w:lineRule="auto"/>
              <w:ind w:left="720"/>
              <w:rPr>
                <w:rFonts w:cs="Times New Roman"/>
                <w:sz w:val="20"/>
                <w:szCs w:val="20"/>
              </w:rPr>
            </w:pPr>
            <w:r w:rsidRPr="0083292E">
              <w:rPr>
                <w:sz w:val="20"/>
                <w:szCs w:val="20"/>
              </w:rPr>
              <w:fldChar w:fldCharType="begin">
                <w:ffData>
                  <w:name w:val="CaseACocher1"/>
                  <w:enabled/>
                  <w:calcOnExit w:val="0"/>
                  <w:checkBox>
                    <w:sizeAuto/>
                    <w:default w:val="0"/>
                  </w:checkBox>
                </w:ffData>
              </w:fldChar>
            </w:r>
            <w:r w:rsidRPr="0083292E">
              <w:rPr>
                <w:sz w:val="20"/>
                <w:szCs w:val="20"/>
                <w:lang w:val="en-US"/>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r w:rsidRPr="0083292E">
              <w:rPr>
                <w:rFonts w:cs="Times New Roman"/>
                <w:sz w:val="20"/>
                <w:szCs w:val="20"/>
              </w:rPr>
              <w:t xml:space="preserve"> with a social objective</w:t>
            </w:r>
          </w:p>
          <w:p w14:paraId="505D1BF1" w14:textId="77777777" w:rsidR="00DA67DD" w:rsidRPr="0083292E" w:rsidRDefault="00DA67DD" w:rsidP="00DA67DD">
            <w:pPr>
              <w:numPr>
                <w:ilvl w:val="0"/>
                <w:numId w:val="11"/>
              </w:numPr>
              <w:spacing w:line="252" w:lineRule="auto"/>
              <w:ind w:left="360"/>
              <w:rPr>
                <w:rFonts w:cs="Times New Roman"/>
                <w:sz w:val="20"/>
                <w:szCs w:val="20"/>
              </w:rPr>
            </w:pPr>
            <w:r w:rsidRPr="0083292E">
              <w:rPr>
                <w:sz w:val="20"/>
                <w:szCs w:val="20"/>
              </w:rPr>
              <w:fldChar w:fldCharType="begin">
                <w:ffData>
                  <w:name w:val="CaseACocher1"/>
                  <w:enabled/>
                  <w:calcOnExit w:val="0"/>
                  <w:checkBox>
                    <w:sizeAuto/>
                    <w:default w:val="1"/>
                  </w:checkBox>
                </w:ffData>
              </w:fldChar>
            </w:r>
            <w:bookmarkStart w:id="0" w:name="CaseACocher1"/>
            <w:r w:rsidRPr="0083292E">
              <w:rPr>
                <w:sz w:val="20"/>
                <w:szCs w:val="20"/>
              </w:rPr>
              <w:instrText xml:space="preserve"> FORMCHECKBOX </w:instrText>
            </w:r>
            <w:r w:rsidRPr="0083292E">
              <w:rPr>
                <w:sz w:val="20"/>
                <w:szCs w:val="20"/>
              </w:rPr>
            </w:r>
            <w:r w:rsidRPr="0083292E">
              <w:rPr>
                <w:sz w:val="20"/>
                <w:szCs w:val="20"/>
              </w:rPr>
              <w:fldChar w:fldCharType="separate"/>
            </w:r>
            <w:r w:rsidRPr="0083292E">
              <w:rPr>
                <w:sz w:val="20"/>
                <w:szCs w:val="20"/>
              </w:rPr>
              <w:fldChar w:fldCharType="end"/>
            </w:r>
            <w:bookmarkEnd w:id="0"/>
            <w:r w:rsidRPr="0083292E">
              <w:rPr>
                <w:rFonts w:cs="Times New Roman"/>
                <w:b/>
                <w:sz w:val="20"/>
                <w:szCs w:val="20"/>
              </w:rPr>
              <w:t xml:space="preserve"> B.</w:t>
            </w:r>
            <w:r w:rsidRPr="0083292E">
              <w:rPr>
                <w:rFonts w:cs="Times New Roman"/>
                <w:sz w:val="20"/>
                <w:szCs w:val="20"/>
              </w:rPr>
              <w:t xml:space="preserve"> It promotes E/S characteristics, but will not make any sustainable investments</w:t>
            </w:r>
          </w:p>
        </w:tc>
      </w:tr>
    </w:tbl>
    <w:p w14:paraId="3EE8B5D9" w14:textId="77777777" w:rsidR="00DA67DD" w:rsidRDefault="00DA67DD" w:rsidP="00DA67DD">
      <w:pPr>
        <w:rPr>
          <w:rFonts w:cs="Times New Roman"/>
          <w:sz w:val="20"/>
          <w:szCs w:val="20"/>
        </w:rPr>
      </w:pPr>
    </w:p>
    <w:p w14:paraId="00952B24" w14:textId="77777777" w:rsidR="00DA67DD" w:rsidRDefault="00DA67DD" w:rsidP="00DA67DD">
      <w:pPr>
        <w:rPr>
          <w:rFonts w:cs="Times New Roman"/>
          <w:sz w:val="20"/>
          <w:szCs w:val="20"/>
        </w:rPr>
      </w:pPr>
    </w:p>
    <w:p w14:paraId="75A4A75E" w14:textId="77777777" w:rsidR="00DA67DD" w:rsidRDefault="00DA67DD" w:rsidP="00DA67DD">
      <w:pPr>
        <w:rPr>
          <w:rFonts w:cs="Times New Roman"/>
          <w:sz w:val="20"/>
          <w:szCs w:val="20"/>
        </w:rPr>
      </w:pPr>
    </w:p>
    <w:p w14:paraId="1AAC5350" w14:textId="77777777" w:rsidR="002A645B" w:rsidRDefault="002A645B" w:rsidP="00DA67DD">
      <w:pPr>
        <w:rPr>
          <w:rFonts w:cs="Times New Roman"/>
          <w:sz w:val="20"/>
          <w:szCs w:val="20"/>
        </w:rPr>
      </w:pPr>
    </w:p>
    <w:p w14:paraId="33F60481" w14:textId="77777777" w:rsidR="002A645B" w:rsidRDefault="002A645B" w:rsidP="00DA67DD">
      <w:pPr>
        <w:rPr>
          <w:rFonts w:cs="Times New Roman"/>
          <w:sz w:val="20"/>
          <w:szCs w:val="20"/>
        </w:rPr>
      </w:pPr>
    </w:p>
    <w:p w14:paraId="260BC217" w14:textId="77777777" w:rsidR="002A645B" w:rsidRDefault="002A645B" w:rsidP="00DA67DD">
      <w:pPr>
        <w:rPr>
          <w:rFonts w:cs="Times New Roman"/>
          <w:sz w:val="20"/>
          <w:szCs w:val="20"/>
        </w:rPr>
      </w:pPr>
    </w:p>
    <w:p w14:paraId="23F74B6B" w14:textId="77777777" w:rsidR="002A645B" w:rsidRDefault="002A645B" w:rsidP="00DA67DD">
      <w:pPr>
        <w:rPr>
          <w:rFonts w:cs="Times New Roman"/>
          <w:sz w:val="20"/>
          <w:szCs w:val="20"/>
        </w:rPr>
      </w:pPr>
    </w:p>
    <w:p w14:paraId="00511099" w14:textId="77777777" w:rsidR="002A645B" w:rsidRPr="0083292E" w:rsidRDefault="002A645B" w:rsidP="00DA67DD">
      <w:pPr>
        <w:rPr>
          <w:rFonts w:cs="Times New Roman"/>
          <w:sz w:val="20"/>
          <w:szCs w:val="20"/>
        </w:rPr>
      </w:pPr>
    </w:p>
    <w:p w14:paraId="48B5B031" w14:textId="77777777" w:rsidR="00DA67DD" w:rsidRPr="0083292E" w:rsidRDefault="00DA67DD" w:rsidP="00DA67DD">
      <w:pPr>
        <w:rPr>
          <w:rFonts w:cs="Times New Roman"/>
          <w:sz w:val="20"/>
          <w:szCs w:val="20"/>
        </w:rPr>
      </w:pPr>
      <w:r w:rsidRPr="0083292E">
        <w:rPr>
          <w:rFonts w:cs="Times New Roman"/>
          <w:noProof/>
          <w:sz w:val="20"/>
          <w:szCs w:val="20"/>
        </w:rPr>
        <w:drawing>
          <wp:anchor distT="114300" distB="114300" distL="114300" distR="114300" simplePos="0" relativeHeight="251660288" behindDoc="1" locked="0" layoutInCell="1" hidden="0" allowOverlap="1" wp14:anchorId="378EE792" wp14:editId="00569E2A">
            <wp:simplePos x="0" y="0"/>
            <wp:positionH relativeFrom="column">
              <wp:posOffset>88900</wp:posOffset>
            </wp:positionH>
            <wp:positionV relativeFrom="paragraph">
              <wp:posOffset>34925</wp:posOffset>
            </wp:positionV>
            <wp:extent cx="914400" cy="457200"/>
            <wp:effectExtent l="0" t="0" r="0" b="0"/>
            <wp:wrapNone/>
            <wp:docPr id="1078364266" name="Image 1078364266"/>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914400" cy="457200"/>
                    </a:xfrm>
                    <a:prstGeom prst="rect">
                      <a:avLst/>
                    </a:prstGeom>
                    <a:ln/>
                  </pic:spPr>
                </pic:pic>
              </a:graphicData>
            </a:graphic>
          </wp:anchor>
        </w:drawing>
      </w:r>
    </w:p>
    <w:p w14:paraId="7D353485" w14:textId="77777777" w:rsidR="00DA67DD" w:rsidRPr="0083292E" w:rsidRDefault="00DA67DD" w:rsidP="00DA67DD">
      <w:pPr>
        <w:numPr>
          <w:ilvl w:val="0"/>
          <w:numId w:val="10"/>
        </w:numPr>
        <w:rPr>
          <w:rFonts w:cs="Times New Roman"/>
          <w:b/>
          <w:sz w:val="20"/>
          <w:szCs w:val="20"/>
        </w:rPr>
      </w:pPr>
      <w:r w:rsidRPr="0083292E">
        <w:rPr>
          <w:rFonts w:cs="Times New Roman"/>
          <w:b/>
          <w:sz w:val="20"/>
          <w:szCs w:val="20"/>
        </w:rPr>
        <w:t>What environmental and/or social characteristics are promoted by this financial product?</w:t>
      </w:r>
    </w:p>
    <w:p w14:paraId="7D2CC1A8" w14:textId="77777777" w:rsidR="00DA67DD" w:rsidRPr="0083292E" w:rsidRDefault="00DA67DD" w:rsidP="00DA67DD">
      <w:pPr>
        <w:rPr>
          <w:rFonts w:cs="Times New Roman"/>
          <w:sz w:val="20"/>
          <w:szCs w:val="20"/>
        </w:rPr>
      </w:pPr>
      <w:r w:rsidRPr="003A1C01">
        <w:rPr>
          <w:rFonts w:ascii="Calibri" w:eastAsia="Calibri" w:hAnsi="Calibri"/>
          <w:noProof/>
        </w:rPr>
        <mc:AlternateContent>
          <mc:Choice Requires="wps">
            <w:drawing>
              <wp:anchor distT="0" distB="0" distL="114300" distR="114300" simplePos="0" relativeHeight="251678720" behindDoc="0" locked="0" layoutInCell="1" allowOverlap="1" wp14:anchorId="15FE67BC" wp14:editId="5BDE4CCC">
                <wp:simplePos x="0" y="0"/>
                <wp:positionH relativeFrom="page">
                  <wp:posOffset>55880</wp:posOffset>
                </wp:positionH>
                <wp:positionV relativeFrom="margin">
                  <wp:posOffset>7119620</wp:posOffset>
                </wp:positionV>
                <wp:extent cx="1038225" cy="1079500"/>
                <wp:effectExtent l="0" t="0" r="3175" b="0"/>
                <wp:wrapSquare wrapText="bothSides"/>
                <wp:docPr id="348" name="Rectangle 348"/>
                <wp:cNvGraphicFramePr/>
                <a:graphic xmlns:a="http://schemas.openxmlformats.org/drawingml/2006/main">
                  <a:graphicData uri="http://schemas.microsoft.com/office/word/2010/wordprocessingShape">
                    <wps:wsp>
                      <wps:cNvSpPr/>
                      <wps:spPr>
                        <a:xfrm>
                          <a:off x="0" y="0"/>
                          <a:ext cx="1038225" cy="1079500"/>
                        </a:xfrm>
                        <a:prstGeom prst="rect">
                          <a:avLst/>
                        </a:prstGeom>
                        <a:solidFill>
                          <a:sysClr val="window" lastClr="FFFFFF">
                            <a:lumMod val="95000"/>
                          </a:sysClr>
                        </a:solidFill>
                        <a:ln w="12700" cap="flat" cmpd="sng" algn="ctr">
                          <a:noFill/>
                          <a:prstDash val="solid"/>
                          <a:miter lim="800000"/>
                        </a:ln>
                        <a:effectLst/>
                      </wps:spPr>
                      <wps:txbx>
                        <w:txbxContent>
                          <w:p w14:paraId="27D3BB80" w14:textId="77777777" w:rsidR="00DA67DD" w:rsidRPr="00C1306C" w:rsidRDefault="00DA67DD" w:rsidP="00DA67DD">
                            <w:pPr>
                              <w:ind w:left="-142" w:right="-268"/>
                              <w:jc w:val="left"/>
                              <w:rPr>
                                <w:rFonts w:asciiTheme="minorHAnsi" w:hAnsiTheme="minorHAnsi" w:cstheme="minorHAnsi"/>
                                <w:color w:val="000000"/>
                                <w:sz w:val="16"/>
                                <w:szCs w:val="16"/>
                              </w:rPr>
                            </w:pPr>
                            <w:r w:rsidRPr="00C1306C">
                              <w:rPr>
                                <w:rFonts w:asciiTheme="minorHAnsi" w:hAnsiTheme="minorHAnsi" w:cstheme="minorHAnsi"/>
                                <w:b/>
                                <w:bCs/>
                                <w:color w:val="000000"/>
                                <w:sz w:val="16"/>
                                <w:szCs w:val="16"/>
                              </w:rPr>
                              <w:t>Sustainability indicators</w:t>
                            </w:r>
                            <w:r w:rsidRPr="00C1306C">
                              <w:rPr>
                                <w:rFonts w:asciiTheme="minorHAnsi" w:hAnsiTheme="minorHAnsi" w:cstheme="minorHAnsi"/>
                                <w:color w:val="000000"/>
                                <w:sz w:val="16"/>
                                <w:szCs w:val="16"/>
                              </w:rPr>
                              <w:t xml:space="preserve"> measure </w:t>
                            </w:r>
                            <w:r w:rsidRPr="00C1306C">
                              <w:rPr>
                                <w:rFonts w:asciiTheme="minorHAnsi" w:hAnsiTheme="minorHAnsi" w:cstheme="minorHAnsi"/>
                                <w:color w:val="000000"/>
                                <w:sz w:val="16"/>
                                <w:szCs w:val="16"/>
                                <w:lang w:val="en-US"/>
                              </w:rPr>
                              <w:t>how the environmental or social characteristics promoted by the financial product are attained.</w:t>
                            </w:r>
                          </w:p>
                          <w:p w14:paraId="00CCEB0E" w14:textId="77777777" w:rsidR="00DA67DD" w:rsidRPr="00C1306C" w:rsidRDefault="00DA67DD" w:rsidP="00DA67DD">
                            <w:pPr>
                              <w:jc w:val="left"/>
                              <w:rPr>
                                <w:color w:val="000000"/>
                                <w:sz w:val="16"/>
                                <w:szCs w:val="16"/>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67BC" id="Rectangle 348" o:spid="_x0000_s1028" style="position:absolute;left:0;text-align:left;margin-left:4.4pt;margin-top:560.6pt;width:81.75pt;height: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OIcewIAAOgEAAAOAAAAZHJzL2Uyb0RvYy54bWysVMtu2zAQvBfoPxC8N5KVOEmNyIGRwEWB&#13;&#10;tAmQFDnTFGUR4Kskbcn9+g4pP9q0p6I+0Lvkcnd2OKub20ErshU+SGtqOjkrKRGG20aadU2/vSw/&#13;&#10;XFMSIjMNU9aImu5EoLfz9+9uejcTle2saoQnSGLCrHc17WJ0s6IIvBOahTPrhMFha71mEa5fF41n&#13;&#10;PbJrVVRleVn01jfOWy5CwO79eEjnOX/bCh4f2zaISFRNgS3m1ed1ldZifsNma89cJ/keBvsHFJpJ&#13;&#10;g6LHVPcsMrLx8o9UWnJvg23jGbe6sG0rucg9oJtJ+aab5445kXsBOcEdaQr/Ly3/un12Tx409C7M&#13;&#10;AszUxdB6nf6BjwyZrN2RLDFEwrE5Kc+vq2pKCcfZpLz6OC0zncXpuvMhfhJWk2TU1OM1Mkls+xAi&#13;&#10;SiL0EJKqBatks5RKZWcX7pQnW4aHw3s3tqdEsRCxWdNl/uVcaqO/2GaMSxAOGEK+n2v8llcZ0gNv&#13;&#10;dYVIwhkk1yoWYWrX1DSYNSVMraFlHn0uYGyClHWSwN6z0I3VctpRQFpGqFhJXdNrQDiCUCa1IrIO&#13;&#10;9y2faE5WHFYDkShcpURpZ2Wb3ZMn3o5SDY4vJco+oPUn5qFNwMa8xUcsrbLoxe4tSjrrf/xtP8VD&#13;&#10;MjilpIfW0ef3DfMCjH42ENPk4iJhJjF755fZ8dmpppgyHK2ydzG9quCYjb6zeJcJZtvxbGLXR3Uw&#13;&#10;W2/1KwZzkeriiBmO6iOne+cujlOI0eZischhGAnH4oN5djwlT9wlyl+GV+bdXkQR+vtqD5PBZm+0&#13;&#10;NMamm8YuNtG2MgvtxCwUkRyMU9bGfvTTvP7q56jTB2r+EwAA//8DAFBLAwQUAAYACAAAACEADkyK&#13;&#10;CuEAAAAQAQAADwAAAGRycy9kb3ducmV2LnhtbExPTU/DMAy9I/EfIiNxY2mLREfXdGJMiEnAgQF3&#13;&#10;rwlttcSpmqwt/x7vBBfLfrbfR7menRWjGULnSUG6SEAYqr3uqFHw+fF0swQRIpJG68ko+DEB1tXl&#13;&#10;RYmF9hO9m3EfG8EkFApU0MbYF1KGujUOw8L3hnj37QeHkcehkXrAicmdlVmS3EmHHbFCi715bE19&#13;&#10;3J+cgm53TPXmNe7y5+nNjrh9+Zo3uVLXV/N2xeVhBSKaOf59wDkD+4eKjR38iXQQVsGS3UeG0yzN&#13;&#10;QJwP8uwWxIGb7J4hWZXyf5DqFwAA//8DAFBLAQItABQABgAIAAAAIQC2gziS/gAAAOEBAAATAAAA&#13;&#10;AAAAAAAAAAAAAAAAAABbQ29udGVudF9UeXBlc10ueG1sUEsBAi0AFAAGAAgAAAAhADj9If/WAAAA&#13;&#10;lAEAAAsAAAAAAAAAAAAAAAAALwEAAF9yZWxzLy5yZWxzUEsBAi0AFAAGAAgAAAAhANXs4hx7AgAA&#13;&#10;6AQAAA4AAAAAAAAAAAAAAAAALgIAAGRycy9lMm9Eb2MueG1sUEsBAi0AFAAGAAgAAAAhAA5Migrh&#13;&#10;AAAAEAEAAA8AAAAAAAAAAAAAAAAA1QQAAGRycy9kb3ducmV2LnhtbFBLBQYAAAAABAAEAPMAAADj&#13;&#10;BQAAAAA=&#13;&#10;" fillcolor="#f2f2f2" stroked="f" strokeweight="1pt">
                <v:textbox inset="4mm,1mm,7mm">
                  <w:txbxContent>
                    <w:p w14:paraId="27D3BB80" w14:textId="77777777" w:rsidR="00DA67DD" w:rsidRPr="00C1306C" w:rsidRDefault="00DA67DD" w:rsidP="00DA67DD">
                      <w:pPr>
                        <w:ind w:left="-142" w:right="-268"/>
                        <w:jc w:val="left"/>
                        <w:rPr>
                          <w:rFonts w:asciiTheme="minorHAnsi" w:hAnsiTheme="minorHAnsi" w:cstheme="minorHAnsi"/>
                          <w:color w:val="000000"/>
                          <w:sz w:val="16"/>
                          <w:szCs w:val="16"/>
                        </w:rPr>
                      </w:pPr>
                      <w:r w:rsidRPr="00C1306C">
                        <w:rPr>
                          <w:rFonts w:asciiTheme="minorHAnsi" w:hAnsiTheme="minorHAnsi" w:cstheme="minorHAnsi"/>
                          <w:b/>
                          <w:bCs/>
                          <w:color w:val="000000"/>
                          <w:sz w:val="16"/>
                          <w:szCs w:val="16"/>
                        </w:rPr>
                        <w:t>Sustainability indicators</w:t>
                      </w:r>
                      <w:r w:rsidRPr="00C1306C">
                        <w:rPr>
                          <w:rFonts w:asciiTheme="minorHAnsi" w:hAnsiTheme="minorHAnsi" w:cstheme="minorHAnsi"/>
                          <w:color w:val="000000"/>
                          <w:sz w:val="16"/>
                          <w:szCs w:val="16"/>
                        </w:rPr>
                        <w:t xml:space="preserve"> measure </w:t>
                      </w:r>
                      <w:r w:rsidRPr="00C1306C">
                        <w:rPr>
                          <w:rFonts w:asciiTheme="minorHAnsi" w:hAnsiTheme="minorHAnsi" w:cstheme="minorHAnsi"/>
                          <w:color w:val="000000"/>
                          <w:sz w:val="16"/>
                          <w:szCs w:val="16"/>
                          <w:lang w:val="en-US"/>
                        </w:rPr>
                        <w:t>how the environmental or social characteristics promoted by the financial product are attained.</w:t>
                      </w:r>
                    </w:p>
                    <w:p w14:paraId="00CCEB0E" w14:textId="77777777" w:rsidR="00DA67DD" w:rsidRPr="00C1306C" w:rsidRDefault="00DA67DD" w:rsidP="00DA67DD">
                      <w:pPr>
                        <w:jc w:val="left"/>
                        <w:rPr>
                          <w:color w:val="000000"/>
                          <w:sz w:val="16"/>
                          <w:szCs w:val="16"/>
                        </w:rPr>
                      </w:pPr>
                    </w:p>
                  </w:txbxContent>
                </v:textbox>
                <w10:wrap type="square" anchorx="page" anchory="margin"/>
              </v:rect>
            </w:pict>
          </mc:Fallback>
        </mc:AlternateContent>
      </w:r>
      <w:r w:rsidRPr="0083292E">
        <w:rPr>
          <w:rFonts w:cs="Times New Roman"/>
          <w:sz w:val="20"/>
          <w:szCs w:val="20"/>
        </w:rPr>
        <w:t xml:space="preserve"> </w:t>
      </w:r>
    </w:p>
    <w:p w14:paraId="390E473D" w14:textId="77777777" w:rsidR="00DA67DD" w:rsidRPr="0083292E" w:rsidRDefault="00DA67DD" w:rsidP="00DA67DD">
      <w:pPr>
        <w:rPr>
          <w:rFonts w:eastAsia="Source Sans Pro" w:cs="Times New Roman"/>
          <w:sz w:val="20"/>
          <w:szCs w:val="20"/>
        </w:rPr>
      </w:pPr>
    </w:p>
    <w:p w14:paraId="73CFB6B7"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 xml:space="preserve">At Elaia Partners, we established in 2020 an ESG committee dedicated to developing and implementing the </w:t>
      </w:r>
      <w:r w:rsidRPr="0083292E">
        <w:rPr>
          <w:rFonts w:eastAsia="Source Sans Pro" w:cs="Times New Roman"/>
          <w:color w:val="000000" w:themeColor="text1"/>
          <w:sz w:val="20"/>
          <w:szCs w:val="20"/>
        </w:rPr>
        <w:t xml:space="preserve">environmental and or social </w:t>
      </w:r>
      <w:r w:rsidRPr="0083292E">
        <w:rPr>
          <w:rFonts w:eastAsia="Source Sans Pro" w:cs="Times New Roman"/>
          <w:sz w:val="20"/>
          <w:szCs w:val="20"/>
        </w:rPr>
        <w:t xml:space="preserve">strategy. Based on best practices, the committee’s role is: </w:t>
      </w:r>
    </w:p>
    <w:p w14:paraId="02A1763B"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To be a trusted and central resource to other team members </w:t>
      </w:r>
    </w:p>
    <w:p w14:paraId="074170B5"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To promote the strategy to all entities internally: </w:t>
      </w:r>
    </w:p>
    <w:p w14:paraId="748D76DE" w14:textId="77777777" w:rsidR="00DA67DD" w:rsidRPr="0083292E" w:rsidRDefault="00DA67DD" w:rsidP="00DA67DD">
      <w:pPr>
        <w:pStyle w:val="Paragraphedeliste"/>
        <w:numPr>
          <w:ilvl w:val="1"/>
          <w:numId w:val="16"/>
        </w:numPr>
        <w:tabs>
          <w:tab w:val="left" w:pos="1843"/>
        </w:tabs>
        <w:spacing w:line="259" w:lineRule="auto"/>
        <w:ind w:left="1843"/>
        <w:contextualSpacing/>
        <w:rPr>
          <w:rFonts w:eastAsia="Source Sans Pro" w:cs="Times New Roman"/>
          <w:sz w:val="20"/>
          <w:szCs w:val="20"/>
        </w:rPr>
      </w:pPr>
      <w:r w:rsidRPr="0083292E">
        <w:rPr>
          <w:rFonts w:eastAsia="Source Sans Pro" w:cs="Times New Roman"/>
          <w:sz w:val="20"/>
          <w:szCs w:val="20"/>
        </w:rPr>
        <w:t xml:space="preserve">100% of FTEs have been trained to CSR topics. </w:t>
      </w:r>
    </w:p>
    <w:p w14:paraId="72160C6F" w14:textId="77777777" w:rsidR="00DA67DD" w:rsidRPr="0083292E" w:rsidRDefault="00DA67DD" w:rsidP="00DA67DD">
      <w:pPr>
        <w:pStyle w:val="Paragraphedeliste"/>
        <w:numPr>
          <w:ilvl w:val="1"/>
          <w:numId w:val="16"/>
        </w:numPr>
        <w:tabs>
          <w:tab w:val="left" w:pos="1843"/>
        </w:tabs>
        <w:spacing w:line="259" w:lineRule="auto"/>
        <w:ind w:left="1843"/>
        <w:contextualSpacing/>
        <w:rPr>
          <w:rFonts w:eastAsia="Source Sans Pro" w:cs="Times New Roman"/>
          <w:sz w:val="20"/>
          <w:szCs w:val="20"/>
        </w:rPr>
      </w:pPr>
      <w:r w:rsidRPr="0083292E">
        <w:rPr>
          <w:rFonts w:eastAsia="Source Sans Pro" w:cs="Times New Roman"/>
          <w:sz w:val="20"/>
          <w:szCs w:val="20"/>
        </w:rPr>
        <w:t xml:space="preserve">Annual ESG training is mandatory for all team members. </w:t>
      </w:r>
    </w:p>
    <w:p w14:paraId="52E801AC" w14:textId="77777777" w:rsidR="00DA67DD" w:rsidRPr="0083292E" w:rsidRDefault="00DA67DD" w:rsidP="00DA67DD">
      <w:pPr>
        <w:pStyle w:val="Paragraphedeliste"/>
        <w:numPr>
          <w:ilvl w:val="1"/>
          <w:numId w:val="16"/>
        </w:numPr>
        <w:tabs>
          <w:tab w:val="left" w:pos="1843"/>
        </w:tabs>
        <w:spacing w:line="259" w:lineRule="auto"/>
        <w:ind w:left="1843"/>
        <w:contextualSpacing/>
        <w:rPr>
          <w:rFonts w:eastAsia="Source Sans Pro" w:cs="Times New Roman"/>
          <w:sz w:val="20"/>
          <w:szCs w:val="20"/>
        </w:rPr>
      </w:pPr>
      <w:r w:rsidRPr="0083292E">
        <w:rPr>
          <w:rFonts w:eastAsia="Source Sans Pro" w:cs="Times New Roman"/>
          <w:sz w:val="20"/>
          <w:szCs w:val="20"/>
        </w:rPr>
        <w:t xml:space="preserve">The aim of the training is to provide the necessary skills and knowledge. </w:t>
      </w:r>
    </w:p>
    <w:p w14:paraId="29950D5C" w14:textId="77777777" w:rsidR="00DA67DD" w:rsidRPr="0083292E" w:rsidRDefault="00DA67DD" w:rsidP="00DA67DD">
      <w:pPr>
        <w:pStyle w:val="Paragraphedeliste"/>
        <w:numPr>
          <w:ilvl w:val="1"/>
          <w:numId w:val="16"/>
        </w:numPr>
        <w:tabs>
          <w:tab w:val="left" w:pos="1843"/>
        </w:tabs>
        <w:spacing w:line="259" w:lineRule="auto"/>
        <w:ind w:left="1843"/>
        <w:contextualSpacing/>
        <w:rPr>
          <w:rFonts w:eastAsia="Source Sans Pro" w:cs="Times New Roman"/>
          <w:sz w:val="20"/>
          <w:szCs w:val="20"/>
        </w:rPr>
      </w:pPr>
      <w:r w:rsidRPr="0083292E">
        <w:rPr>
          <w:rFonts w:eastAsia="Source Sans Pro" w:cs="Times New Roman"/>
          <w:sz w:val="20"/>
          <w:szCs w:val="20"/>
        </w:rPr>
        <w:lastRenderedPageBreak/>
        <w:t xml:space="preserve">It covers establishing a carbon footprint, addressing the challenges of a low-carbon transition approach once the carbon footprint has been established, addressing the study of risks and opportunities, the methodological frameworks and the issues related to the associated change management. </w:t>
      </w:r>
    </w:p>
    <w:p w14:paraId="562E4F26"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To recommend best practices to our portfolio companies </w:t>
      </w:r>
    </w:p>
    <w:p w14:paraId="499F3EA5"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To monitor and collect data from our portfolio companies and share it externally</w:t>
      </w:r>
    </w:p>
    <w:p w14:paraId="7D33119C" w14:textId="77777777" w:rsidR="00DA67DD" w:rsidRPr="0083292E" w:rsidRDefault="00DA67DD" w:rsidP="00DA67DD">
      <w:pPr>
        <w:ind w:left="567"/>
        <w:rPr>
          <w:rFonts w:eastAsia="Source Sans Pro" w:cs="Times New Roman"/>
          <w:sz w:val="20"/>
          <w:szCs w:val="20"/>
        </w:rPr>
      </w:pPr>
      <w:r w:rsidRPr="0083292E">
        <w:rPr>
          <w:rFonts w:eastAsia="Source Sans Pro" w:cs="Times New Roman"/>
          <w:sz w:val="20"/>
          <w:szCs w:val="20"/>
        </w:rPr>
        <w:t xml:space="preserve">At management company level, on the environmental pillar, Elaia Partners is committed to reducing its environmental impact by managing its buildings and resources responsibly and by monitoring and controlling its CO2 emissions. This includes, but is not limited to, the following actions: </w:t>
      </w:r>
    </w:p>
    <w:p w14:paraId="2B378D6D"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Carbon assessment: Elaia Parners seeks to assess its activities’ exhaustive carbon footprint regularly (including Scopes 1, 2 and 3) </w:t>
      </w:r>
    </w:p>
    <w:p w14:paraId="0D395CE7"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Responsible use of paper</w:t>
      </w:r>
    </w:p>
    <w:p w14:paraId="6CADB646"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Responsible waste management</w:t>
      </w:r>
    </w:p>
    <w:p w14:paraId="5F3689A6"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Removing single-use and plastic utensils</w:t>
      </w:r>
    </w:p>
    <w:p w14:paraId="4A4B86A3"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Travel policy </w:t>
      </w:r>
    </w:p>
    <w:p w14:paraId="4E78F32E"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 xml:space="preserve">On the social pillar, we believe that human capital diversity adds value to the company and is essential to developing a sustainable economy. Therefore, we have chosen to demonstrate our commitment to this topic by: </w:t>
      </w:r>
    </w:p>
    <w:p w14:paraId="11160EFE"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Ensuring that our culture, workplaces, and HR policy are gender-inclusive, and provide a safe and rewarding working environment to all employees on a daily basis; </w:t>
      </w:r>
    </w:p>
    <w:p w14:paraId="1649F39A"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Signing the Gender Equality Charter sponsored by France Invest/Sista. Such charter requires very specific quantitative gender balance objectives to be met by 2030 :</w:t>
      </w:r>
    </w:p>
    <w:p w14:paraId="2E131FCE" w14:textId="77777777" w:rsidR="00DA67DD" w:rsidRPr="0083292E" w:rsidRDefault="00DA67DD" w:rsidP="00DA67DD">
      <w:pPr>
        <w:pStyle w:val="Paragraphedeliste"/>
        <w:numPr>
          <w:ilvl w:val="1"/>
          <w:numId w:val="16"/>
        </w:numPr>
        <w:spacing w:line="259" w:lineRule="auto"/>
        <w:ind w:left="1701"/>
        <w:contextualSpacing/>
        <w:rPr>
          <w:rFonts w:eastAsia="Source Sans Pro" w:cs="Times New Roman"/>
          <w:sz w:val="20"/>
          <w:szCs w:val="20"/>
        </w:rPr>
      </w:pPr>
      <w:r w:rsidRPr="0083292E">
        <w:rPr>
          <w:rFonts w:eastAsia="Source Sans Pro" w:cs="Times New Roman"/>
          <w:sz w:val="20"/>
          <w:szCs w:val="20"/>
        </w:rPr>
        <w:t>Increase the percentage of women having responsibility for Investment Committee decisions</w:t>
      </w:r>
    </w:p>
    <w:p w14:paraId="2EB7F8E7" w14:textId="77777777" w:rsidR="00DA67DD" w:rsidRPr="0083292E" w:rsidRDefault="00DA67DD" w:rsidP="00DA67DD">
      <w:pPr>
        <w:pStyle w:val="Paragraphedeliste"/>
        <w:numPr>
          <w:ilvl w:val="1"/>
          <w:numId w:val="16"/>
        </w:numPr>
        <w:spacing w:line="259" w:lineRule="auto"/>
        <w:ind w:left="1701"/>
        <w:contextualSpacing/>
        <w:rPr>
          <w:rFonts w:eastAsia="Source Sans Pro" w:cs="Times New Roman"/>
          <w:sz w:val="20"/>
          <w:szCs w:val="20"/>
        </w:rPr>
      </w:pPr>
      <w:r w:rsidRPr="0083292E">
        <w:rPr>
          <w:rFonts w:eastAsia="Source Sans Pro" w:cs="Times New Roman"/>
          <w:sz w:val="20"/>
          <w:szCs w:val="20"/>
        </w:rPr>
        <w:t>Set a target for women to make up 40% of investment teams</w:t>
      </w:r>
    </w:p>
    <w:p w14:paraId="62D4924E" w14:textId="77777777" w:rsidR="00DA67DD" w:rsidRPr="0083292E" w:rsidRDefault="00DA67DD" w:rsidP="00DA67DD">
      <w:pPr>
        <w:pStyle w:val="Paragraphedeliste"/>
        <w:numPr>
          <w:ilvl w:val="1"/>
          <w:numId w:val="16"/>
        </w:numPr>
        <w:spacing w:line="259" w:lineRule="auto"/>
        <w:ind w:left="1701"/>
        <w:contextualSpacing/>
        <w:rPr>
          <w:rFonts w:eastAsia="Source Sans Pro" w:cs="Times New Roman"/>
          <w:sz w:val="20"/>
          <w:szCs w:val="20"/>
        </w:rPr>
      </w:pPr>
      <w:r w:rsidRPr="0083292E">
        <w:rPr>
          <w:rFonts w:eastAsia="Source Sans Pro" w:cs="Times New Roman"/>
          <w:sz w:val="20"/>
          <w:szCs w:val="20"/>
        </w:rPr>
        <w:t>Ensure that published job offers are gender neutral and free of gender stereotypes in accordance with the regulations in force</w:t>
      </w:r>
    </w:p>
    <w:p w14:paraId="0FFD92C1" w14:textId="77777777" w:rsidR="00DA67DD" w:rsidRPr="0083292E" w:rsidRDefault="00DA67DD" w:rsidP="00DA67DD">
      <w:pPr>
        <w:pStyle w:val="Paragraphedeliste"/>
        <w:numPr>
          <w:ilvl w:val="1"/>
          <w:numId w:val="16"/>
        </w:numPr>
        <w:spacing w:line="259" w:lineRule="auto"/>
        <w:ind w:left="1701"/>
        <w:contextualSpacing/>
        <w:rPr>
          <w:rFonts w:eastAsia="Source Sans Pro" w:cs="Times New Roman"/>
          <w:sz w:val="20"/>
          <w:szCs w:val="20"/>
        </w:rPr>
      </w:pPr>
      <w:r w:rsidRPr="0083292E">
        <w:rPr>
          <w:rFonts w:eastAsia="Source Sans Pro" w:cs="Times New Roman"/>
          <w:sz w:val="20"/>
          <w:szCs w:val="20"/>
        </w:rPr>
        <w:t>Ensure non-discriminatory recruitment and assessment practices</w:t>
      </w:r>
    </w:p>
    <w:p w14:paraId="0DF3B67B" w14:textId="77777777" w:rsidR="00DA67DD" w:rsidRPr="0083292E" w:rsidRDefault="00DA67DD" w:rsidP="00DA67DD">
      <w:pPr>
        <w:ind w:firstLine="708"/>
        <w:rPr>
          <w:rFonts w:cs="Times New Roman"/>
          <w:sz w:val="20"/>
          <w:szCs w:val="20"/>
          <w:lang w:val="en-US"/>
        </w:rPr>
      </w:pPr>
      <w:r w:rsidRPr="0083292E">
        <w:rPr>
          <w:rFonts w:eastAsia="Source Sans Pro" w:cs="Times New Roman"/>
          <w:sz w:val="20"/>
          <w:szCs w:val="20"/>
        </w:rPr>
        <w:t>However, the objectives were met long before the signing of the charter.</w:t>
      </w:r>
    </w:p>
    <w:p w14:paraId="59AC4148" w14:textId="77777777" w:rsidR="00DA67DD" w:rsidRPr="0083292E" w:rsidRDefault="00DA67DD" w:rsidP="00DA67DD">
      <w:pPr>
        <w:pStyle w:val="Paragraphedeliste"/>
        <w:numPr>
          <w:ilvl w:val="0"/>
          <w:numId w:val="16"/>
        </w:numPr>
        <w:spacing w:line="259" w:lineRule="auto"/>
        <w:ind w:left="1276"/>
        <w:contextualSpacing/>
        <w:rPr>
          <w:rFonts w:cs="Times New Roman"/>
          <w:sz w:val="20"/>
          <w:szCs w:val="20"/>
          <w:lang w:val="en-US"/>
        </w:rPr>
      </w:pPr>
      <w:r w:rsidRPr="0083292E">
        <w:rPr>
          <w:rFonts w:eastAsia="Source Sans Pro" w:cs="Times New Roman"/>
          <w:sz w:val="20"/>
          <w:szCs w:val="20"/>
        </w:rPr>
        <w:t>Implementing a ‘No Tolerance’ policy for harassment or discrimination of any kind;</w:t>
      </w:r>
      <w:r w:rsidRPr="0083292E">
        <w:rPr>
          <w:rFonts w:cs="Times New Roman"/>
          <w:sz w:val="20"/>
          <w:szCs w:val="20"/>
          <w:lang w:val="en-US"/>
        </w:rPr>
        <w:br/>
      </w:r>
    </w:p>
    <w:p w14:paraId="405154A0"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 xml:space="preserve">By investing early in tomorrow’s leaders and raising the awareness of our portfolio companies to the importance of responsible investing, the Fund develop a multiplier effect in their industries. </w:t>
      </w:r>
    </w:p>
    <w:p w14:paraId="0B28666E" w14:textId="77777777" w:rsidR="00DA67DD" w:rsidRDefault="00DA67DD" w:rsidP="00DA67DD">
      <w:pPr>
        <w:ind w:left="567"/>
        <w:rPr>
          <w:rFonts w:eastAsia="Source Sans Pro" w:cs="Times New Roman"/>
          <w:sz w:val="20"/>
          <w:szCs w:val="20"/>
        </w:rPr>
      </w:pPr>
      <w:r w:rsidRPr="0083292E">
        <w:rPr>
          <w:rFonts w:eastAsia="Source Sans Pro" w:cs="Times New Roman"/>
          <w:sz w:val="20"/>
          <w:szCs w:val="20"/>
        </w:rPr>
        <w:t xml:space="preserve">At the level of the Fund portfolio startups, we have Integrated </w:t>
      </w:r>
      <w:r w:rsidRPr="0083292E">
        <w:rPr>
          <w:rFonts w:eastAsia="Source Sans Pro" w:cs="Times New Roman"/>
          <w:color w:val="000000" w:themeColor="text1"/>
          <w:sz w:val="20"/>
          <w:szCs w:val="20"/>
        </w:rPr>
        <w:t>environmental and social</w:t>
      </w:r>
      <w:r w:rsidRPr="0083292E">
        <w:rPr>
          <w:rFonts w:eastAsia="Source Sans Pro" w:cs="Times New Roman"/>
          <w:b/>
          <w:bCs/>
          <w:i/>
          <w:iCs/>
          <w:color w:val="000000" w:themeColor="text1"/>
          <w:sz w:val="20"/>
          <w:szCs w:val="20"/>
        </w:rPr>
        <w:t xml:space="preserve"> </w:t>
      </w:r>
      <w:r w:rsidRPr="0083292E">
        <w:rPr>
          <w:rFonts w:eastAsia="Source Sans Pro" w:cs="Times New Roman"/>
          <w:sz w:val="20"/>
          <w:szCs w:val="20"/>
        </w:rPr>
        <w:t xml:space="preserve">from A to Z in our investment process:  </w:t>
      </w:r>
    </w:p>
    <w:p w14:paraId="27EE3772" w14:textId="77777777" w:rsidR="00DA67DD" w:rsidRPr="0083292E" w:rsidRDefault="00DA67DD" w:rsidP="00DA67DD">
      <w:pPr>
        <w:rPr>
          <w:rFonts w:eastAsia="Source Sans Pro" w:cs="Times New Roman"/>
          <w:sz w:val="20"/>
          <w:szCs w:val="20"/>
        </w:rPr>
      </w:pPr>
    </w:p>
    <w:p w14:paraId="78D1CDB4" w14:textId="77777777" w:rsidR="00DA67DD" w:rsidRPr="0083292E" w:rsidRDefault="00DA67DD" w:rsidP="00DA67DD">
      <w:pPr>
        <w:jc w:val="center"/>
        <w:rPr>
          <w:rFonts w:cs="Times New Roman"/>
          <w:sz w:val="20"/>
          <w:szCs w:val="20"/>
        </w:rPr>
      </w:pPr>
      <w:r w:rsidRPr="0083292E">
        <w:rPr>
          <w:rFonts w:cs="Times New Roman"/>
          <w:noProof/>
          <w:sz w:val="20"/>
          <w:szCs w:val="20"/>
        </w:rPr>
        <w:drawing>
          <wp:inline distT="0" distB="0" distL="0" distR="0" wp14:anchorId="7A350A79" wp14:editId="5FDFCA9A">
            <wp:extent cx="4572000" cy="1800225"/>
            <wp:effectExtent l="0" t="0" r="0" b="0"/>
            <wp:docPr id="1905052274" name="Picture 1905052274"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52274" name="Picture 1905052274" descr="Une image contenant texte, capture d’écran, Polic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4572000" cy="1800225"/>
                    </a:xfrm>
                    <a:prstGeom prst="rect">
                      <a:avLst/>
                    </a:prstGeom>
                  </pic:spPr>
                </pic:pic>
              </a:graphicData>
            </a:graphic>
          </wp:inline>
        </w:drawing>
      </w:r>
    </w:p>
    <w:p w14:paraId="23CD628F" w14:textId="77777777" w:rsidR="00DA67DD" w:rsidRDefault="00DA67DD" w:rsidP="00DA67DD">
      <w:pPr>
        <w:pStyle w:val="Paragraphedeliste"/>
        <w:spacing w:line="259" w:lineRule="auto"/>
        <w:contextualSpacing/>
        <w:rPr>
          <w:rFonts w:eastAsia="Source Sans Pro" w:cs="Times New Roman"/>
          <w:i/>
          <w:iCs/>
          <w:color w:val="14726C"/>
          <w:sz w:val="20"/>
          <w:szCs w:val="20"/>
        </w:rPr>
      </w:pPr>
    </w:p>
    <w:p w14:paraId="194ADEA5" w14:textId="77777777" w:rsidR="00DA67DD" w:rsidRPr="0083292E" w:rsidRDefault="00DA67DD" w:rsidP="00DA67DD">
      <w:pPr>
        <w:pStyle w:val="Paragraphedeliste"/>
        <w:numPr>
          <w:ilvl w:val="0"/>
          <w:numId w:val="16"/>
        </w:numPr>
        <w:spacing w:line="259" w:lineRule="auto"/>
        <w:contextualSpacing/>
        <w:rPr>
          <w:rFonts w:eastAsia="Source Sans Pro" w:cs="Times New Roman"/>
          <w:i/>
          <w:iCs/>
          <w:color w:val="14726C"/>
          <w:sz w:val="20"/>
          <w:szCs w:val="20"/>
        </w:rPr>
      </w:pPr>
      <w:r w:rsidRPr="0083292E">
        <w:rPr>
          <w:rFonts w:eastAsia="Source Sans Pro" w:cs="Times New Roman"/>
          <w:i/>
          <w:iCs/>
          <w:color w:val="14726C"/>
          <w:sz w:val="20"/>
          <w:szCs w:val="20"/>
        </w:rPr>
        <w:t xml:space="preserve">Investment process &amp; due diligence </w:t>
      </w:r>
    </w:p>
    <w:p w14:paraId="684C197C"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Elaia’ DTS3 Fund’s investment team analyses ESG criteria and delivers specific due diligences:</w:t>
      </w:r>
    </w:p>
    <w:p w14:paraId="4A7A9711"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External pre-investment </w:t>
      </w: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audit, which delivers an extra-financial scoring</w:t>
      </w:r>
    </w:p>
    <w:p w14:paraId="5C024C07"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 xml:space="preserve">In close relationship with the investee’s management, definition of key </w:t>
      </w: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indicators and objectives to be monitored by the companies (e.g., Climate and Environment Charter, </w:t>
      </w:r>
      <w:r w:rsidRPr="0083292E">
        <w:rPr>
          <w:rFonts w:cs="Times New Roman"/>
          <w:sz w:val="20"/>
          <w:szCs w:val="20"/>
          <w:lang w:val="en-US"/>
        </w:rPr>
        <w:t xml:space="preserve">carbon footprint scope 1, 2 and 3, </w:t>
      </w:r>
      <w:r w:rsidRPr="0083292E">
        <w:rPr>
          <w:rFonts w:eastAsia="Source Sans Pro" w:cs="Times New Roman"/>
          <w:sz w:val="20"/>
          <w:szCs w:val="20"/>
        </w:rPr>
        <w:t xml:space="preserve">proportion of women in the team, </w:t>
      </w:r>
      <w:r w:rsidRPr="0083292E">
        <w:rPr>
          <w:rFonts w:cs="Times New Roman"/>
          <w:sz w:val="20"/>
          <w:szCs w:val="20"/>
          <w:lang w:val="en-US"/>
        </w:rPr>
        <w:t>precarious workers, avg. contract duration, etc.)</w:t>
      </w:r>
    </w:p>
    <w:p w14:paraId="5F2B951D"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sz w:val="20"/>
          <w:szCs w:val="20"/>
        </w:rPr>
        <w:t>Letter of intent and shareholders agreements raising awareness among the entrepreneurs</w:t>
      </w:r>
    </w:p>
    <w:p w14:paraId="26045AF2" w14:textId="77777777" w:rsidR="00DA67DD" w:rsidRPr="0083292E" w:rsidRDefault="00DA67DD" w:rsidP="00DA67DD">
      <w:pPr>
        <w:pStyle w:val="Paragraphedeliste"/>
        <w:numPr>
          <w:ilvl w:val="0"/>
          <w:numId w:val="16"/>
        </w:numPr>
        <w:spacing w:line="259" w:lineRule="auto"/>
        <w:ind w:left="1276"/>
        <w:contextualSpacing/>
        <w:rPr>
          <w:rFonts w:eastAsia="Source Sans Pro" w:cs="Times New Roman"/>
          <w:sz w:val="20"/>
          <w:szCs w:val="20"/>
        </w:rPr>
      </w:pP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criteria integrated into decision-making by the investment committee:</w:t>
      </w:r>
    </w:p>
    <w:p w14:paraId="1021AE7D" w14:textId="77777777" w:rsidR="00DA67DD" w:rsidRPr="0083292E" w:rsidRDefault="00DA67DD" w:rsidP="00DA67DD">
      <w:pPr>
        <w:pStyle w:val="Paragraphedeliste"/>
        <w:numPr>
          <w:ilvl w:val="1"/>
          <w:numId w:val="16"/>
        </w:numPr>
        <w:spacing w:line="259" w:lineRule="auto"/>
        <w:ind w:left="1843" w:hanging="283"/>
        <w:contextualSpacing/>
        <w:rPr>
          <w:rFonts w:eastAsia="Source Sans Pro" w:cs="Times New Roman"/>
          <w:sz w:val="20"/>
          <w:szCs w:val="20"/>
        </w:rPr>
      </w:pPr>
      <w:r w:rsidRPr="0083292E">
        <w:rPr>
          <w:rFonts w:eastAsia="Source Sans Pro" w:cs="Times New Roman"/>
          <w:sz w:val="20"/>
          <w:szCs w:val="20"/>
        </w:rPr>
        <w:lastRenderedPageBreak/>
        <w:t>All investment notes present which of UN’s 17 SDG are positively impacted by the investment; and those that are negatively impacted</w:t>
      </w:r>
    </w:p>
    <w:p w14:paraId="772FAA34" w14:textId="77777777" w:rsidR="00DA67DD" w:rsidRPr="0083292E" w:rsidRDefault="00DA67DD" w:rsidP="00DA67DD">
      <w:pPr>
        <w:pStyle w:val="Paragraphedeliste"/>
        <w:numPr>
          <w:ilvl w:val="1"/>
          <w:numId w:val="16"/>
        </w:numPr>
        <w:spacing w:line="259" w:lineRule="auto"/>
        <w:ind w:left="1843" w:hanging="283"/>
        <w:contextualSpacing/>
        <w:rPr>
          <w:rFonts w:eastAsia="Source Sans Pro" w:cs="Times New Roman"/>
          <w:sz w:val="20"/>
          <w:szCs w:val="20"/>
        </w:rPr>
      </w:pPr>
      <w:r w:rsidRPr="0083292E">
        <w:rPr>
          <w:rFonts w:eastAsia="Source Sans Pro" w:cs="Times New Roman"/>
          <w:sz w:val="20"/>
          <w:szCs w:val="20"/>
        </w:rPr>
        <w:t xml:space="preserve">The investment committee is invited to score its appreciation of the </w:t>
      </w: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impact of the proposed investment</w:t>
      </w:r>
    </w:p>
    <w:p w14:paraId="7AA180F4" w14:textId="77777777" w:rsidR="00DA67DD" w:rsidRDefault="00DA67DD" w:rsidP="00DA67DD">
      <w:pPr>
        <w:ind w:left="567"/>
        <w:rPr>
          <w:rFonts w:eastAsia="Source Sans Pro" w:cs="Times New Roman"/>
          <w:sz w:val="20"/>
          <w:szCs w:val="20"/>
        </w:rPr>
      </w:pPr>
      <w:r w:rsidRPr="0083292E">
        <w:rPr>
          <w:rFonts w:eastAsia="Source Sans Pro" w:cs="Times New Roman"/>
          <w:sz w:val="20"/>
          <w:szCs w:val="20"/>
        </w:rPr>
        <w:t xml:space="preserve">To help the investment team deliver relevant analyses on </w:t>
      </w: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criteria, specific ongoing trainings and team awareness exercises are carried out throughout the year.</w:t>
      </w:r>
    </w:p>
    <w:p w14:paraId="20DCF86B" w14:textId="77777777" w:rsidR="00DA67DD" w:rsidRDefault="00DA67DD" w:rsidP="00DA67DD">
      <w:pPr>
        <w:ind w:left="426"/>
        <w:rPr>
          <w:rFonts w:eastAsia="Source Sans Pro" w:cs="Times New Roman"/>
          <w:sz w:val="20"/>
          <w:szCs w:val="20"/>
        </w:rPr>
      </w:pPr>
    </w:p>
    <w:p w14:paraId="5832EA60" w14:textId="77777777" w:rsidR="00DA67DD" w:rsidRDefault="00DA67DD" w:rsidP="00DA67DD">
      <w:pPr>
        <w:ind w:left="426"/>
        <w:rPr>
          <w:rFonts w:eastAsia="Source Sans Pro" w:cs="Times New Roman"/>
          <w:sz w:val="20"/>
          <w:szCs w:val="20"/>
        </w:rPr>
      </w:pPr>
    </w:p>
    <w:p w14:paraId="345645FC" w14:textId="77777777" w:rsidR="00DA67DD" w:rsidRPr="0083292E" w:rsidRDefault="00DA67DD" w:rsidP="00DA67DD">
      <w:pPr>
        <w:rPr>
          <w:rFonts w:cs="Times New Roman"/>
          <w:sz w:val="20"/>
          <w:szCs w:val="20"/>
          <w:lang w:val="en-US"/>
        </w:rPr>
      </w:pPr>
    </w:p>
    <w:p w14:paraId="6CC7979B" w14:textId="77777777" w:rsidR="00DA67DD" w:rsidRPr="0083292E" w:rsidRDefault="00DA67DD" w:rsidP="00DA67DD">
      <w:pPr>
        <w:pStyle w:val="Paragraphedeliste"/>
        <w:numPr>
          <w:ilvl w:val="0"/>
          <w:numId w:val="16"/>
        </w:numPr>
        <w:spacing w:line="259" w:lineRule="auto"/>
        <w:contextualSpacing/>
        <w:rPr>
          <w:rFonts w:eastAsia="Source Sans Pro" w:cs="Times New Roman"/>
          <w:i/>
          <w:iCs/>
          <w:color w:val="14726C"/>
          <w:sz w:val="20"/>
          <w:szCs w:val="20"/>
        </w:rPr>
      </w:pPr>
      <w:r w:rsidRPr="0083292E">
        <w:rPr>
          <w:rFonts w:eastAsia="Source Sans Pro" w:cs="Times New Roman"/>
          <w:i/>
          <w:iCs/>
          <w:color w:val="14726C"/>
          <w:sz w:val="20"/>
          <w:szCs w:val="20"/>
        </w:rPr>
        <w:t xml:space="preserve">Investment journey </w:t>
      </w:r>
    </w:p>
    <w:p w14:paraId="401004F4" w14:textId="77777777" w:rsidR="00DA67DD" w:rsidRPr="0083292E" w:rsidRDefault="00DA67DD" w:rsidP="00DA67DD">
      <w:pPr>
        <w:ind w:left="567"/>
        <w:rPr>
          <w:rFonts w:eastAsia="Source Sans Pro" w:cs="Times New Roman"/>
          <w:sz w:val="20"/>
          <w:szCs w:val="20"/>
        </w:rPr>
      </w:pPr>
      <w:r w:rsidRPr="0083292E">
        <w:rPr>
          <w:rFonts w:eastAsia="Source Sans Pro" w:cs="Times New Roman"/>
          <w:sz w:val="20"/>
          <w:szCs w:val="20"/>
        </w:rPr>
        <w:t xml:space="preserve">Once the company has been invested in, a carbon footprint analysis is mandatorily allowing to fine-tune </w:t>
      </w:r>
      <w:r w:rsidRPr="0083292E">
        <w:rPr>
          <w:rFonts w:eastAsia="Source Sans Pro" w:cs="Times New Roman"/>
          <w:color w:val="000000" w:themeColor="text1"/>
          <w:sz w:val="20"/>
          <w:szCs w:val="20"/>
        </w:rPr>
        <w:t xml:space="preserve">environmental </w:t>
      </w:r>
      <w:r w:rsidRPr="0083292E">
        <w:rPr>
          <w:rFonts w:eastAsia="Source Sans Pro" w:cs="Times New Roman"/>
          <w:sz w:val="20"/>
          <w:szCs w:val="20"/>
        </w:rPr>
        <w:t xml:space="preserve">indicators and define action plans. On a yearly and quarterly basis, the management company has the duty to report its monitoring of metrics specific to the Company’s ESG objectives determined by the Board of Directors. </w:t>
      </w:r>
    </w:p>
    <w:p w14:paraId="419AD0FE"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 xml:space="preserve">Company-specific </w:t>
      </w: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indicators are therefore monitored on a bi-annual basis and published in a report sent to the fund’s investors alongside the financial quarterly report.</w:t>
      </w:r>
    </w:p>
    <w:p w14:paraId="6B507DA2" w14:textId="77777777" w:rsidR="00DA67DD" w:rsidRPr="0083292E" w:rsidRDefault="00DA67DD" w:rsidP="00DA67DD">
      <w:pPr>
        <w:ind w:left="567"/>
        <w:rPr>
          <w:rFonts w:eastAsia="Source Sans Pro" w:cs="Times New Roman"/>
          <w:sz w:val="20"/>
          <w:szCs w:val="20"/>
        </w:rPr>
      </w:pPr>
      <w:r w:rsidRPr="0083292E">
        <w:rPr>
          <w:rFonts w:eastAsia="Source Sans Pro" w:cs="Times New Roman"/>
          <w:sz w:val="20"/>
          <w:szCs w:val="20"/>
        </w:rPr>
        <w:t>On an annual basis, a more extensive, and non-company specific, ESG survey is sent to all the Fund’s portfolio companies. This survey is the base for the Elaia ESG Annual Report, as well as for the report for large institutional investors who follow France Invest’s ESG indicators framework.</w:t>
      </w:r>
    </w:p>
    <w:p w14:paraId="09F09622" w14:textId="77777777" w:rsidR="00DA67DD" w:rsidRDefault="00DA67DD" w:rsidP="00DA67DD">
      <w:pPr>
        <w:ind w:left="567"/>
        <w:rPr>
          <w:rFonts w:eastAsia="Source Sans Pro" w:cs="Times New Roman"/>
          <w:sz w:val="20"/>
          <w:szCs w:val="20"/>
        </w:rPr>
      </w:pPr>
      <w:r w:rsidRPr="0083292E">
        <w:rPr>
          <w:rFonts w:eastAsia="Source Sans Pro" w:cs="Times New Roman"/>
          <w:sz w:val="20"/>
          <w:szCs w:val="20"/>
        </w:rPr>
        <w:t xml:space="preserve">On an ad-hoc basis, it is possible to set up incentives for managers to monitor and achieve </w:t>
      </w:r>
      <w:r w:rsidRPr="0083292E">
        <w:rPr>
          <w:rFonts w:eastAsia="Source Sans Pro" w:cs="Times New Roman"/>
          <w:color w:val="000000" w:themeColor="text1"/>
          <w:sz w:val="20"/>
          <w:szCs w:val="20"/>
        </w:rPr>
        <w:t>environmental and social</w:t>
      </w:r>
      <w:r w:rsidRPr="0083292E">
        <w:rPr>
          <w:rFonts w:eastAsia="Source Sans Pro" w:cs="Times New Roman"/>
          <w:sz w:val="20"/>
          <w:szCs w:val="20"/>
        </w:rPr>
        <w:t xml:space="preserve"> objectives.</w:t>
      </w:r>
    </w:p>
    <w:p w14:paraId="6DBC4794" w14:textId="77777777" w:rsidR="00DA67DD" w:rsidRPr="0083292E" w:rsidRDefault="00DA67DD" w:rsidP="00DA67DD">
      <w:pPr>
        <w:rPr>
          <w:rFonts w:eastAsia="Source Sans Pro" w:cs="Times New Roman"/>
          <w:sz w:val="20"/>
          <w:szCs w:val="20"/>
        </w:rPr>
      </w:pPr>
    </w:p>
    <w:p w14:paraId="6B12DF91" w14:textId="77777777" w:rsidR="00DA67DD" w:rsidRPr="0083292E" w:rsidRDefault="00DA67DD" w:rsidP="00DA67DD">
      <w:pPr>
        <w:pStyle w:val="Paragraphedeliste"/>
        <w:numPr>
          <w:ilvl w:val="0"/>
          <w:numId w:val="16"/>
        </w:numPr>
        <w:spacing w:line="259" w:lineRule="auto"/>
        <w:contextualSpacing/>
        <w:rPr>
          <w:rFonts w:eastAsia="Source Sans Pro" w:cs="Times New Roman"/>
          <w:i/>
          <w:iCs/>
          <w:color w:val="14726C"/>
          <w:sz w:val="20"/>
          <w:szCs w:val="20"/>
        </w:rPr>
      </w:pPr>
      <w:r w:rsidRPr="0083292E">
        <w:rPr>
          <w:rFonts w:eastAsia="Source Sans Pro" w:cs="Times New Roman"/>
          <w:i/>
          <w:iCs/>
          <w:color w:val="14726C"/>
          <w:sz w:val="20"/>
          <w:szCs w:val="20"/>
        </w:rPr>
        <w:t>Exit</w:t>
      </w:r>
    </w:p>
    <w:p w14:paraId="4E179F9B"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With investors inquiring more and more frequently about what the target company is doing with regards to responsible investment, how they treat employees and vendors, their dedication to sustainability initiatives, and other activities that fall under the ESG umbrella, it is important to have answers to these questions.</w:t>
      </w:r>
    </w:p>
    <w:p w14:paraId="7B52E6BB" w14:textId="77777777" w:rsidR="00DA67DD" w:rsidRPr="0083292E" w:rsidRDefault="00DA67DD" w:rsidP="00DA67DD">
      <w:pPr>
        <w:ind w:left="567"/>
        <w:rPr>
          <w:rFonts w:cs="Times New Roman"/>
          <w:sz w:val="20"/>
          <w:szCs w:val="20"/>
          <w:lang w:val="en-US"/>
        </w:rPr>
      </w:pPr>
      <w:r w:rsidRPr="0083292E">
        <w:rPr>
          <w:rFonts w:eastAsia="Source Sans Pro" w:cs="Times New Roman"/>
          <w:sz w:val="20"/>
          <w:szCs w:val="20"/>
        </w:rPr>
        <w:t>Therefore, the Fund’s team is working on the establishing of a Pre-exit ESG reporting template including:</w:t>
      </w:r>
    </w:p>
    <w:p w14:paraId="366A8394" w14:textId="77777777" w:rsidR="00DA67DD" w:rsidRPr="0083292E" w:rsidRDefault="00DA67DD" w:rsidP="00DA67DD">
      <w:pPr>
        <w:pStyle w:val="Paragraphedeliste"/>
        <w:numPr>
          <w:ilvl w:val="0"/>
          <w:numId w:val="16"/>
        </w:numPr>
        <w:spacing w:line="259" w:lineRule="auto"/>
        <w:ind w:left="1134"/>
        <w:contextualSpacing/>
        <w:rPr>
          <w:rFonts w:eastAsia="Source Sans Pro" w:cs="Times New Roman"/>
          <w:sz w:val="20"/>
          <w:szCs w:val="20"/>
        </w:rPr>
      </w:pPr>
      <w:r w:rsidRPr="0083292E">
        <w:rPr>
          <w:rFonts w:eastAsia="Source Sans Pro" w:cs="Times New Roman"/>
          <w:sz w:val="20"/>
          <w:szCs w:val="20"/>
        </w:rPr>
        <w:t>An assessment of how ESG has created value throughout the Fund's holding period</w:t>
      </w:r>
    </w:p>
    <w:p w14:paraId="2F46911E" w14:textId="77777777" w:rsidR="00DA67DD" w:rsidRPr="0083292E" w:rsidRDefault="00DA67DD" w:rsidP="00DA67DD">
      <w:pPr>
        <w:pStyle w:val="Paragraphedeliste"/>
        <w:numPr>
          <w:ilvl w:val="0"/>
          <w:numId w:val="16"/>
        </w:numPr>
        <w:spacing w:line="259" w:lineRule="auto"/>
        <w:ind w:left="1134"/>
        <w:contextualSpacing/>
        <w:rPr>
          <w:rFonts w:eastAsia="Source Sans Pro" w:cs="Times New Roman"/>
          <w:sz w:val="20"/>
          <w:szCs w:val="20"/>
        </w:rPr>
      </w:pPr>
      <w:r w:rsidRPr="0083292E">
        <w:rPr>
          <w:rFonts w:eastAsia="Source Sans Pro" w:cs="Times New Roman"/>
          <w:sz w:val="20"/>
          <w:szCs w:val="20"/>
        </w:rPr>
        <w:t>A consideration of what level of ESG reporting may be required to support the exit process. The level of disclosures will be dependent on the type of exit (i.e. IPO, trade sale, secondary buyout, carve out, etc.)</w:t>
      </w:r>
    </w:p>
    <w:p w14:paraId="413A0942" w14:textId="77777777" w:rsidR="00DA67DD" w:rsidRPr="0083292E" w:rsidRDefault="00DA67DD" w:rsidP="00DA67DD">
      <w:pPr>
        <w:pStyle w:val="Paragraphedeliste"/>
        <w:numPr>
          <w:ilvl w:val="0"/>
          <w:numId w:val="16"/>
        </w:numPr>
        <w:spacing w:line="259" w:lineRule="auto"/>
        <w:ind w:left="1134"/>
        <w:contextualSpacing/>
        <w:rPr>
          <w:rFonts w:eastAsia="Source Sans Pro" w:cs="Times New Roman"/>
          <w:sz w:val="20"/>
          <w:szCs w:val="20"/>
        </w:rPr>
      </w:pPr>
      <w:r w:rsidRPr="0083292E">
        <w:rPr>
          <w:rFonts w:eastAsia="Source Sans Pro" w:cs="Times New Roman"/>
          <w:sz w:val="20"/>
          <w:szCs w:val="20"/>
        </w:rPr>
        <w:t>The need for ESG advisers to support the preparation for sale and undertaking appropriate ESG vendor due diligence</w:t>
      </w:r>
    </w:p>
    <w:p w14:paraId="6A820F40" w14:textId="77777777" w:rsidR="00DA67DD" w:rsidRPr="0083292E" w:rsidRDefault="00DA67DD" w:rsidP="00DA67DD">
      <w:pPr>
        <w:rPr>
          <w:rFonts w:cs="Times New Roman"/>
          <w:iCs/>
          <w:sz w:val="20"/>
          <w:szCs w:val="20"/>
        </w:rPr>
      </w:pPr>
    </w:p>
    <w:p w14:paraId="1A900822" w14:textId="77777777" w:rsidR="00DA67DD" w:rsidRPr="0083292E" w:rsidRDefault="00DA67DD" w:rsidP="00DA67DD">
      <w:pPr>
        <w:rPr>
          <w:rFonts w:cs="Times New Roman"/>
          <w:iCs/>
          <w:sz w:val="20"/>
          <w:szCs w:val="20"/>
        </w:rPr>
      </w:pPr>
    </w:p>
    <w:p w14:paraId="2294B9D3" w14:textId="77777777" w:rsidR="00DA67DD" w:rsidRPr="0083292E" w:rsidRDefault="00DA67DD" w:rsidP="00DA67DD">
      <w:pPr>
        <w:pStyle w:val="Paragraphedeliste"/>
        <w:numPr>
          <w:ilvl w:val="1"/>
          <w:numId w:val="15"/>
        </w:numPr>
        <w:ind w:left="1134" w:hanging="567"/>
        <w:rPr>
          <w:rFonts w:cs="Times New Roman"/>
          <w:i/>
          <w:sz w:val="20"/>
          <w:szCs w:val="20"/>
        </w:rPr>
      </w:pPr>
      <w:r w:rsidRPr="0083292E">
        <w:rPr>
          <w:rFonts w:cs="Times New Roman"/>
          <w:i/>
          <w:sz w:val="20"/>
          <w:szCs w:val="20"/>
        </w:rPr>
        <w:t>What sustainability indicators are used to measure the attainment of each of the environmental or social characteristics promoted by this financial product</w:t>
      </w:r>
    </w:p>
    <w:p w14:paraId="3EA99358" w14:textId="77777777" w:rsidR="00DA67DD" w:rsidRPr="0083292E" w:rsidRDefault="00DA67DD" w:rsidP="00DA67DD">
      <w:pPr>
        <w:ind w:left="1134" w:hanging="567"/>
        <w:rPr>
          <w:rFonts w:cs="Times New Roman"/>
          <w:sz w:val="20"/>
          <w:szCs w:val="20"/>
        </w:rPr>
      </w:pPr>
    </w:p>
    <w:p w14:paraId="0A865995" w14:textId="77777777" w:rsidR="00DA67DD" w:rsidRPr="0083292E" w:rsidRDefault="00DA67DD" w:rsidP="00DA67DD">
      <w:pPr>
        <w:ind w:left="1134" w:hanging="567"/>
        <w:rPr>
          <w:rFonts w:cs="Times New Roman"/>
          <w:sz w:val="20"/>
          <w:szCs w:val="20"/>
        </w:rPr>
      </w:pPr>
      <w:r w:rsidRPr="0083292E">
        <w:rPr>
          <w:rFonts w:cs="Times New Roman"/>
          <w:sz w:val="20"/>
          <w:szCs w:val="20"/>
        </w:rPr>
        <w:t>There are no indicators for this product.</w:t>
      </w:r>
    </w:p>
    <w:p w14:paraId="5F276EF6" w14:textId="77777777" w:rsidR="00DA67DD" w:rsidRPr="0083292E" w:rsidRDefault="00DA67DD" w:rsidP="00DA67DD">
      <w:pPr>
        <w:ind w:left="1134" w:hanging="567"/>
        <w:rPr>
          <w:rFonts w:cs="Times New Roman"/>
          <w:sz w:val="20"/>
          <w:szCs w:val="20"/>
        </w:rPr>
      </w:pPr>
    </w:p>
    <w:p w14:paraId="06D8B84D" w14:textId="77777777" w:rsidR="00DA67DD" w:rsidRPr="0083292E" w:rsidRDefault="00DA67DD" w:rsidP="00DA67DD">
      <w:pPr>
        <w:pStyle w:val="Paragraphedeliste"/>
        <w:numPr>
          <w:ilvl w:val="1"/>
          <w:numId w:val="15"/>
        </w:numPr>
        <w:ind w:left="1134" w:hanging="567"/>
        <w:rPr>
          <w:rFonts w:cs="Times New Roman"/>
          <w:i/>
          <w:sz w:val="20"/>
          <w:szCs w:val="20"/>
        </w:rPr>
      </w:pPr>
      <w:r w:rsidRPr="0083292E">
        <w:rPr>
          <w:rFonts w:cs="Times New Roman"/>
          <w:i/>
          <w:sz w:val="20"/>
          <w:szCs w:val="20"/>
        </w:rPr>
        <w:t>What are the objectives of the sustainable investments that the financial product partially intends to make and how does the sustainable investment contribute to such objectives?</w:t>
      </w:r>
    </w:p>
    <w:p w14:paraId="432308C9" w14:textId="77777777" w:rsidR="00DA67DD" w:rsidRPr="0083292E" w:rsidRDefault="00DA67DD" w:rsidP="00DA67DD">
      <w:pPr>
        <w:ind w:left="1134" w:hanging="567"/>
        <w:rPr>
          <w:rFonts w:cs="Times New Roman"/>
          <w:sz w:val="20"/>
          <w:szCs w:val="20"/>
        </w:rPr>
      </w:pPr>
    </w:p>
    <w:p w14:paraId="3214E44E" w14:textId="77777777" w:rsidR="00DA67DD" w:rsidRPr="0083292E" w:rsidRDefault="00DA67DD" w:rsidP="00DA67DD">
      <w:pPr>
        <w:ind w:left="1134" w:hanging="567"/>
        <w:rPr>
          <w:rFonts w:cs="Times New Roman"/>
          <w:sz w:val="20"/>
          <w:szCs w:val="20"/>
        </w:rPr>
      </w:pPr>
      <w:r w:rsidRPr="0083292E">
        <w:rPr>
          <w:rFonts w:cs="Times New Roman"/>
          <w:sz w:val="20"/>
          <w:szCs w:val="20"/>
        </w:rPr>
        <w:t>None, as the product does not and will not realise any sustainable investments.</w:t>
      </w:r>
    </w:p>
    <w:p w14:paraId="668763A5" w14:textId="77777777" w:rsidR="00DA67DD" w:rsidRPr="0083292E" w:rsidRDefault="00DA67DD" w:rsidP="00DA67DD">
      <w:pPr>
        <w:rPr>
          <w:rFonts w:cs="Times New Roman"/>
          <w:sz w:val="20"/>
          <w:szCs w:val="20"/>
        </w:rPr>
      </w:pPr>
    </w:p>
    <w:p w14:paraId="73068C93" w14:textId="77777777" w:rsidR="00DA67DD" w:rsidRPr="0083292E" w:rsidRDefault="00DA67DD" w:rsidP="00DA67DD">
      <w:pPr>
        <w:rPr>
          <w:rFonts w:cs="Times New Roman"/>
          <w:sz w:val="20"/>
          <w:szCs w:val="20"/>
        </w:rPr>
      </w:pPr>
      <w:r w:rsidRPr="0083292E">
        <w:rPr>
          <w:rFonts w:cs="Times New Roman"/>
          <w:noProof/>
          <w:sz w:val="20"/>
          <w:szCs w:val="20"/>
        </w:rPr>
        <w:drawing>
          <wp:anchor distT="114300" distB="114300" distL="114300" distR="114300" simplePos="0" relativeHeight="251661312" behindDoc="1" locked="0" layoutInCell="1" hidden="0" allowOverlap="1" wp14:anchorId="276C5F85" wp14:editId="03994889">
            <wp:simplePos x="0" y="0"/>
            <wp:positionH relativeFrom="column">
              <wp:posOffset>-46990</wp:posOffset>
            </wp:positionH>
            <wp:positionV relativeFrom="paragraph">
              <wp:posOffset>104775</wp:posOffset>
            </wp:positionV>
            <wp:extent cx="1061720" cy="447675"/>
            <wp:effectExtent l="0" t="0" r="5080" b="0"/>
            <wp:wrapNone/>
            <wp:docPr id="1009473882" name="Image 1009473882" descr="Une image contenant thermomètre&#10;&#10;Description générée automatiquement"/>
            <wp:cNvGraphicFramePr/>
            <a:graphic xmlns:a="http://schemas.openxmlformats.org/drawingml/2006/main">
              <a:graphicData uri="http://schemas.openxmlformats.org/drawingml/2006/picture">
                <pic:pic xmlns:pic="http://schemas.openxmlformats.org/drawingml/2006/picture">
                  <pic:nvPicPr>
                    <pic:cNvPr id="11" name="image1.png" descr="Une image contenant thermomètre&#10;&#10;Description générée automatiquement"/>
                    <pic:cNvPicPr preferRelativeResize="0"/>
                  </pic:nvPicPr>
                  <pic:blipFill>
                    <a:blip r:embed="rId7"/>
                    <a:srcRect/>
                    <a:stretch>
                      <a:fillRect/>
                    </a:stretch>
                  </pic:blipFill>
                  <pic:spPr>
                    <a:xfrm>
                      <a:off x="0" y="0"/>
                      <a:ext cx="1061720" cy="447675"/>
                    </a:xfrm>
                    <a:prstGeom prst="rect">
                      <a:avLst/>
                    </a:prstGeom>
                    <a:ln/>
                  </pic:spPr>
                </pic:pic>
              </a:graphicData>
            </a:graphic>
          </wp:anchor>
        </w:drawing>
      </w:r>
    </w:p>
    <w:p w14:paraId="5D4BE939" w14:textId="77777777" w:rsidR="00DA67DD" w:rsidRPr="0083292E" w:rsidRDefault="00DA67DD" w:rsidP="00DA67DD">
      <w:pPr>
        <w:numPr>
          <w:ilvl w:val="0"/>
          <w:numId w:val="10"/>
        </w:numPr>
        <w:spacing w:after="200"/>
        <w:rPr>
          <w:rFonts w:cs="Times New Roman"/>
          <w:b/>
          <w:sz w:val="20"/>
          <w:szCs w:val="20"/>
        </w:rPr>
      </w:pPr>
      <w:r w:rsidRPr="00974047">
        <w:rPr>
          <w:rFonts w:ascii="Calibri" w:hAnsi="Calibri" w:cs="Calibri"/>
          <w:noProof/>
          <w:sz w:val="18"/>
          <w:szCs w:val="18"/>
        </w:rPr>
        <mc:AlternateContent>
          <mc:Choice Requires="wps">
            <w:drawing>
              <wp:anchor distT="0" distB="0" distL="114300" distR="114300" simplePos="0" relativeHeight="251673600" behindDoc="0" locked="0" layoutInCell="1" allowOverlap="1" wp14:anchorId="2A8073BB" wp14:editId="1CE49D1C">
                <wp:simplePos x="0" y="0"/>
                <wp:positionH relativeFrom="page">
                  <wp:posOffset>36830</wp:posOffset>
                </wp:positionH>
                <wp:positionV relativeFrom="page">
                  <wp:posOffset>6361712</wp:posOffset>
                </wp:positionV>
                <wp:extent cx="1018674" cy="2373630"/>
                <wp:effectExtent l="0" t="0" r="0" b="1270"/>
                <wp:wrapSquare wrapText="bothSides"/>
                <wp:docPr id="375" name="Rectangle 375"/>
                <wp:cNvGraphicFramePr/>
                <a:graphic xmlns:a="http://schemas.openxmlformats.org/drawingml/2006/main">
                  <a:graphicData uri="http://schemas.microsoft.com/office/word/2010/wordprocessingShape">
                    <wps:wsp>
                      <wps:cNvSpPr/>
                      <wps:spPr>
                        <a:xfrm>
                          <a:off x="0" y="0"/>
                          <a:ext cx="1018674" cy="2373630"/>
                        </a:xfrm>
                        <a:prstGeom prst="rect">
                          <a:avLst/>
                        </a:prstGeom>
                        <a:solidFill>
                          <a:sysClr val="window" lastClr="FFFFFF">
                            <a:lumMod val="95000"/>
                          </a:sysClr>
                        </a:solidFill>
                        <a:ln w="12700" cap="flat" cmpd="sng" algn="ctr">
                          <a:noFill/>
                          <a:prstDash val="solid"/>
                          <a:miter lim="800000"/>
                        </a:ln>
                        <a:effectLst/>
                      </wps:spPr>
                      <wps:txbx>
                        <w:txbxContent>
                          <w:p w14:paraId="612B251D" w14:textId="77777777" w:rsidR="00DA67DD" w:rsidRPr="00A21C2F" w:rsidRDefault="00DA67DD" w:rsidP="00DA67DD">
                            <w:pPr>
                              <w:ind w:left="-142" w:right="-322"/>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 xml:space="preserve">Principal adverse impacts </w:t>
                            </w:r>
                            <w:r w:rsidRPr="00A21C2F">
                              <w:rPr>
                                <w:rFonts w:asciiTheme="minorHAnsi" w:hAnsiTheme="minorHAnsi" w:cstheme="minorHAnsi"/>
                                <w:color w:val="000000"/>
                                <w:sz w:val="18"/>
                                <w:szCs w:val="21"/>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073BB" id="Rectangle 375" o:spid="_x0000_s1029" style="position:absolute;left:0;text-align:left;margin-left:2.9pt;margin-top:500.9pt;width:80.2pt;height:186.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OhFfAIAAOgEAAAOAAAAZHJzL2Uyb0RvYy54bWysVMlu2zAUvBfoPxC8N5KX2KkROTASuCiQ&#13;&#10;JgGSImeaoiwC3ErSlt2v75DykqY9FfWBfhvfMpyn65udVmQrfJDWVHRwUVIiDLe1NOuKfn9Zfrqi&#13;&#10;JERmaqasERXdi0Bv5h8/XHduJoa2taoWniCJCbPOVbSN0c2KIvBWaBYurBMGzsZ6zSJUvy5qzzpk&#13;&#10;16oYluWk6KyvnbdchADrXe+k85y/aQSPj00TRCSqougt5tPnc5XOYn7NZmvPXCv5oQ32D11oJg2K&#13;&#10;nlLdscjIxss/UmnJvQ22iRfc6sI2jeQiz4BpBuW7aZ5b5kSeBeAEd4Ip/L+0/GH77J48YOhcmAWI&#13;&#10;aYpd43X6R39kl8Han8ASu0g4jINycDWZjinh8A1H09FklOEsztedD/GLsJokoaIer5FBYtv7EFES&#13;&#10;oceQVC1YJeulVCor+3CrPNkyPBzeu7YdJYqFCGNFl/mXc6mN/mbrPu7zZVkeewj5fq7xW15lSIfm&#13;&#10;h1NEEs5AuUaxCFG7uqLBrClhag0u8+hzAWNTS5knqdk7Ftq+Wk7bE0jLCBYrqSt6hRZOTSiTRhGZ&#13;&#10;h4eRzzAnKe5WOyJReJQSJcvK1vsnT7ztqRocX0qUvcfoT8yDm2gb+xYfcTTKYhZ7kChprf/5N3uK&#13;&#10;B2XgpaQD1zHnjw3zAoh+NSDTYDxOPZOYtdEkKz4rw0tsGVyrrI0vp0MoZqNvLd5lgN12PIuw+qiO&#13;&#10;YuOtfsViLlJduJjhqN5jelBuY7+FWG0uFoschpVwLN6bZ8dT8oRdgvxl98q8O5Aogn8P9rgZbPaO&#13;&#10;S31sumnsYhNtIzPRzsiCEUnBOmVuHFY/7etbPUedP1DzXwAAAP//AwBQSwMEFAAGAAgAAAAhAO8+&#13;&#10;KZHiAAAAEAEAAA8AAABkcnMvZG93bnJldi54bWxMT8lOwzAQvSPxD9YgcaN2ipqgNE5FqRCVKAfa&#13;&#10;cndjk0S1x1HsJuHvmZ7gMnqzvaVYTc6ywfSh9SghmQlgBiuvW6wlHA+vD0/AQlSolfVoJPyYAKvy&#13;&#10;9qZQufYjfpphH2tGJBhyJaGJscs5D1VjnAoz3xmk3bfvnYrU9jXXvRqJ3Fk+FyLlTrVICo3qzEtj&#13;&#10;qvP+4iS023Oi17u4zd7GDzuozfvXtM6kvL+bNksqz0tg0Uzx7wOuGcg/lGTs5C+oA7MSFuQ+0liI&#13;&#10;hND1IE3nwE4EHrNFCrws+P8g5S8AAAD//wMAUEsBAi0AFAAGAAgAAAAhALaDOJL+AAAA4QEAABMA&#13;&#10;AAAAAAAAAAAAAAAAAAAAAFtDb250ZW50X1R5cGVzXS54bWxQSwECLQAUAAYACAAAACEAOP0h/9YA&#13;&#10;AACUAQAACwAAAAAAAAAAAAAAAAAvAQAAX3JlbHMvLnJlbHNQSwECLQAUAAYACAAAACEAnmzoRXwC&#13;&#10;AADoBAAADgAAAAAAAAAAAAAAAAAuAgAAZHJzL2Uyb0RvYy54bWxQSwECLQAUAAYACAAAACEA7z4p&#13;&#10;keIAAAAQAQAADwAAAAAAAAAAAAAAAADWBAAAZHJzL2Rvd25yZXYueG1sUEsFBgAAAAAEAAQA8wAA&#13;&#10;AOUFAAAAAA==&#13;&#10;" fillcolor="#f2f2f2" stroked="f" strokeweight="1pt">
                <v:textbox inset="4mm,1mm,7mm">
                  <w:txbxContent>
                    <w:p w14:paraId="612B251D" w14:textId="77777777" w:rsidR="00DA67DD" w:rsidRPr="00A21C2F" w:rsidRDefault="00DA67DD" w:rsidP="00DA67DD">
                      <w:pPr>
                        <w:ind w:left="-142" w:right="-322"/>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 xml:space="preserve">Principal adverse impacts </w:t>
                      </w:r>
                      <w:r w:rsidRPr="00A21C2F">
                        <w:rPr>
                          <w:rFonts w:asciiTheme="minorHAnsi" w:hAnsiTheme="minorHAnsi" w:cstheme="minorHAnsi"/>
                          <w:color w:val="000000"/>
                          <w:sz w:val="18"/>
                          <w:szCs w:val="21"/>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page"/>
              </v:rect>
            </w:pict>
          </mc:Fallback>
        </mc:AlternateContent>
      </w:r>
      <w:r w:rsidRPr="0083292E">
        <w:rPr>
          <w:rFonts w:cs="Times New Roman"/>
          <w:b/>
          <w:sz w:val="20"/>
          <w:szCs w:val="20"/>
        </w:rPr>
        <w:t>How do the sustainable investments that the financial product partially intends to make, not cause significant harm to any environmental or social sustainable investment objective?</w:t>
      </w:r>
    </w:p>
    <w:p w14:paraId="443F196E" w14:textId="77777777" w:rsidR="00DA67DD" w:rsidRDefault="00DA67DD" w:rsidP="00DA67DD">
      <w:pPr>
        <w:ind w:left="567"/>
        <w:rPr>
          <w:rFonts w:cs="Times New Roman"/>
          <w:sz w:val="20"/>
          <w:szCs w:val="20"/>
        </w:rPr>
      </w:pPr>
    </w:p>
    <w:p w14:paraId="43BF761D" w14:textId="77777777" w:rsidR="00DA67DD" w:rsidRPr="0083292E" w:rsidRDefault="00DA67DD" w:rsidP="00DA67DD">
      <w:pPr>
        <w:ind w:left="567"/>
        <w:rPr>
          <w:rFonts w:cs="Times New Roman"/>
          <w:sz w:val="20"/>
          <w:szCs w:val="20"/>
        </w:rPr>
      </w:pPr>
      <w:r w:rsidRPr="0083292E">
        <w:rPr>
          <w:rFonts w:cs="Times New Roman"/>
          <w:sz w:val="20"/>
          <w:szCs w:val="20"/>
        </w:rPr>
        <w:t>Not applicable.</w:t>
      </w:r>
    </w:p>
    <w:p w14:paraId="2323189E" w14:textId="77777777" w:rsidR="00DA67DD" w:rsidRPr="0083292E" w:rsidRDefault="00DA67DD" w:rsidP="00DA67DD">
      <w:pPr>
        <w:spacing w:after="200"/>
        <w:ind w:left="567"/>
        <w:rPr>
          <w:rFonts w:cs="Times New Roman"/>
          <w:i/>
          <w:sz w:val="20"/>
          <w:szCs w:val="20"/>
        </w:rPr>
      </w:pPr>
    </w:p>
    <w:p w14:paraId="14743653" w14:textId="77777777" w:rsidR="00DA67DD" w:rsidRPr="0083292E" w:rsidRDefault="00DA67DD" w:rsidP="00DA67DD">
      <w:pPr>
        <w:spacing w:after="200"/>
        <w:ind w:left="567"/>
        <w:rPr>
          <w:rFonts w:cs="Times New Roman"/>
          <w:i/>
          <w:sz w:val="20"/>
          <w:szCs w:val="20"/>
        </w:rPr>
      </w:pPr>
      <w:r w:rsidRPr="0083292E">
        <w:rPr>
          <w:rFonts w:cs="Times New Roman"/>
          <w:i/>
          <w:sz w:val="20"/>
          <w:szCs w:val="20"/>
        </w:rPr>
        <w:t>2.1.</w:t>
      </w:r>
      <w:r w:rsidRPr="0083292E">
        <w:rPr>
          <w:rFonts w:cs="Times New Roman"/>
          <w:i/>
          <w:sz w:val="20"/>
          <w:szCs w:val="20"/>
        </w:rPr>
        <w:tab/>
        <w:t>How have the indicators for adverse impacts on sustainability factors been taken into account?</w:t>
      </w:r>
    </w:p>
    <w:p w14:paraId="4954C839" w14:textId="77777777" w:rsidR="00DA67DD" w:rsidRPr="0083292E" w:rsidRDefault="00DA67DD" w:rsidP="00DA67DD">
      <w:pPr>
        <w:ind w:left="567"/>
        <w:rPr>
          <w:rFonts w:cs="Times New Roman"/>
          <w:sz w:val="20"/>
          <w:szCs w:val="20"/>
        </w:rPr>
      </w:pPr>
    </w:p>
    <w:p w14:paraId="549203C7" w14:textId="77777777" w:rsidR="00DA67DD" w:rsidRPr="0083292E" w:rsidRDefault="00DA67DD" w:rsidP="00DA67DD">
      <w:pPr>
        <w:ind w:left="567"/>
        <w:rPr>
          <w:rFonts w:cs="Times New Roman"/>
          <w:sz w:val="20"/>
          <w:szCs w:val="20"/>
        </w:rPr>
      </w:pPr>
      <w:r w:rsidRPr="0083292E">
        <w:rPr>
          <w:rFonts w:cs="Times New Roman"/>
          <w:sz w:val="20"/>
          <w:szCs w:val="20"/>
        </w:rPr>
        <w:t>Not applicable.</w:t>
      </w:r>
    </w:p>
    <w:p w14:paraId="00A7D7AB" w14:textId="77777777" w:rsidR="00DA67DD" w:rsidRPr="0083292E" w:rsidRDefault="00DA67DD" w:rsidP="00DA67DD">
      <w:pPr>
        <w:ind w:left="567"/>
        <w:rPr>
          <w:rFonts w:cs="Times New Roman"/>
          <w:sz w:val="20"/>
          <w:szCs w:val="20"/>
        </w:rPr>
      </w:pPr>
    </w:p>
    <w:p w14:paraId="42095D97" w14:textId="77777777" w:rsidR="00DA67DD" w:rsidRPr="0083292E" w:rsidRDefault="00DA67DD" w:rsidP="00DA67DD">
      <w:pPr>
        <w:ind w:left="567" w:hanging="567"/>
        <w:rPr>
          <w:rFonts w:cs="Times New Roman"/>
          <w:i/>
          <w:sz w:val="20"/>
          <w:szCs w:val="20"/>
        </w:rPr>
      </w:pPr>
      <w:r w:rsidRPr="0083292E">
        <w:rPr>
          <w:rFonts w:cs="Times New Roman"/>
          <w:i/>
          <w:sz w:val="20"/>
          <w:szCs w:val="20"/>
        </w:rPr>
        <w:lastRenderedPageBreak/>
        <w:t>2.2.</w:t>
      </w:r>
      <w:r w:rsidRPr="0083292E">
        <w:rPr>
          <w:rFonts w:cs="Times New Roman"/>
          <w:i/>
          <w:sz w:val="20"/>
          <w:szCs w:val="20"/>
        </w:rPr>
        <w:tab/>
        <w:t>How are the sustainable investment aligned with the OECD Guidelines for Multinational Enterprises and the UN Guiding Principles on Business and Human Rights? Details:</w:t>
      </w:r>
    </w:p>
    <w:p w14:paraId="7C58329C" w14:textId="77777777" w:rsidR="00DA67DD" w:rsidRPr="0083292E" w:rsidRDefault="00DA67DD" w:rsidP="00DA67DD">
      <w:pPr>
        <w:ind w:left="567"/>
        <w:rPr>
          <w:rFonts w:cs="Times New Roman"/>
          <w:sz w:val="20"/>
          <w:szCs w:val="20"/>
        </w:rPr>
      </w:pPr>
    </w:p>
    <w:p w14:paraId="5E9A7E49" w14:textId="77777777" w:rsidR="00DA67DD" w:rsidRDefault="00DA67DD" w:rsidP="00DA67DD">
      <w:pPr>
        <w:ind w:left="567"/>
        <w:rPr>
          <w:rFonts w:cs="Times New Roman"/>
          <w:sz w:val="20"/>
          <w:szCs w:val="20"/>
        </w:rPr>
      </w:pPr>
      <w:r w:rsidRPr="0083292E">
        <w:rPr>
          <w:rFonts w:cs="Times New Roman"/>
          <w:sz w:val="20"/>
          <w:szCs w:val="20"/>
        </w:rPr>
        <w:t xml:space="preserve">Not applicable. </w:t>
      </w:r>
    </w:p>
    <w:p w14:paraId="2CD36668" w14:textId="77777777" w:rsidR="00C82A8C" w:rsidRPr="0083292E" w:rsidRDefault="00C82A8C" w:rsidP="00DA67DD">
      <w:pPr>
        <w:rPr>
          <w:rFonts w:cs="Times New Roman"/>
          <w:sz w:val="20"/>
          <w:szCs w:val="20"/>
        </w:rPr>
      </w:pPr>
    </w:p>
    <w:p w14:paraId="543E6B16" w14:textId="77777777" w:rsidR="00DA67DD" w:rsidRPr="0083292E" w:rsidRDefault="00DA67DD" w:rsidP="00DA67DD">
      <w:pPr>
        <w:rPr>
          <w:rFonts w:cs="Times New Roman"/>
          <w:sz w:val="20"/>
          <w:szCs w:val="20"/>
        </w:rPr>
      </w:pPr>
      <w:r w:rsidRPr="0083292E">
        <w:rPr>
          <w:rFonts w:cs="Times New Roman"/>
          <w:noProof/>
          <w:sz w:val="20"/>
          <w:szCs w:val="20"/>
        </w:rPr>
        <w:drawing>
          <wp:anchor distT="0" distB="0" distL="114300" distR="114300" simplePos="0" relativeHeight="251670528" behindDoc="0" locked="0" layoutInCell="1" allowOverlap="1" wp14:anchorId="096BFC4A" wp14:editId="0EBA5071">
            <wp:simplePos x="0" y="0"/>
            <wp:positionH relativeFrom="column">
              <wp:posOffset>32385</wp:posOffset>
            </wp:positionH>
            <wp:positionV relativeFrom="paragraph">
              <wp:posOffset>0</wp:posOffset>
            </wp:positionV>
            <wp:extent cx="874800" cy="446400"/>
            <wp:effectExtent l="0" t="0" r="1905" b="0"/>
            <wp:wrapNone/>
            <wp:docPr id="1296015610" name="Image 1296015610"/>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74800" cy="446400"/>
                    </a:xfrm>
                    <a:prstGeom prst="rect">
                      <a:avLst/>
                    </a:prstGeom>
                    <a:ln/>
                  </pic:spPr>
                </pic:pic>
              </a:graphicData>
            </a:graphic>
            <wp14:sizeRelH relativeFrom="margin">
              <wp14:pctWidth>0</wp14:pctWidth>
            </wp14:sizeRelH>
            <wp14:sizeRelV relativeFrom="margin">
              <wp14:pctHeight>0</wp14:pctHeight>
            </wp14:sizeRelV>
          </wp:anchor>
        </w:drawing>
      </w:r>
    </w:p>
    <w:p w14:paraId="799F0846" w14:textId="77777777" w:rsidR="00DA67DD" w:rsidRPr="0083292E" w:rsidRDefault="00DA67DD" w:rsidP="00DA67DD">
      <w:pPr>
        <w:numPr>
          <w:ilvl w:val="0"/>
          <w:numId w:val="10"/>
        </w:numPr>
        <w:rPr>
          <w:rFonts w:cs="Times New Roman"/>
          <w:b/>
          <w:sz w:val="20"/>
          <w:szCs w:val="20"/>
        </w:rPr>
      </w:pPr>
      <w:r w:rsidRPr="0083292E">
        <w:rPr>
          <w:rFonts w:cs="Times New Roman"/>
          <w:b/>
          <w:sz w:val="20"/>
          <w:szCs w:val="20"/>
        </w:rPr>
        <w:t>Does this financial product consider principal adverse impacts on sustainability factors?</w:t>
      </w:r>
    </w:p>
    <w:p w14:paraId="650D6B1A" w14:textId="77777777" w:rsidR="00DA67DD" w:rsidRPr="0083292E" w:rsidRDefault="00DA67DD" w:rsidP="00DA67DD">
      <w:pPr>
        <w:rPr>
          <w:rFonts w:cs="Times New Roman"/>
          <w:sz w:val="20"/>
          <w:szCs w:val="20"/>
        </w:rPr>
      </w:pPr>
    </w:p>
    <w:p w14:paraId="4ED2A015" w14:textId="77777777" w:rsidR="00DA67DD" w:rsidRPr="0083292E" w:rsidRDefault="00DA67DD" w:rsidP="00DA67DD">
      <w:pPr>
        <w:ind w:left="567"/>
        <w:rPr>
          <w:rFonts w:cs="Times New Roman"/>
          <w:bCs/>
          <w:sz w:val="20"/>
          <w:szCs w:val="20"/>
        </w:rPr>
      </w:pPr>
      <w:r>
        <w:rPr>
          <w:sz w:val="20"/>
        </w:rPr>
        <w:fldChar w:fldCharType="begin">
          <w:ffData>
            <w:name w:val=""/>
            <w:enabled/>
            <w:calcOnExit w:val="0"/>
            <w:checkBox>
              <w:sizeAuto/>
              <w:default w:val="1"/>
            </w:checkBox>
          </w:ffData>
        </w:fldChar>
      </w:r>
      <w:r>
        <w:rPr>
          <w:sz w:val="20"/>
        </w:rPr>
        <w:instrText xml:space="preserve"> FORMCHECKBOX </w:instrText>
      </w:r>
      <w:r>
        <w:rPr>
          <w:sz w:val="20"/>
        </w:rPr>
      </w:r>
      <w:r>
        <w:rPr>
          <w:sz w:val="20"/>
        </w:rPr>
        <w:fldChar w:fldCharType="separate"/>
      </w:r>
      <w:r>
        <w:rPr>
          <w:sz w:val="20"/>
        </w:rPr>
        <w:fldChar w:fldCharType="end"/>
      </w:r>
      <w:r w:rsidRPr="0083292E">
        <w:rPr>
          <w:rFonts w:cs="Times New Roman"/>
          <w:bCs/>
          <w:sz w:val="20"/>
          <w:szCs w:val="20"/>
          <w:lang w:val="en-US"/>
        </w:rPr>
        <w:t xml:space="preserve"> Yes,</w:t>
      </w:r>
    </w:p>
    <w:p w14:paraId="01542517" w14:textId="77777777" w:rsidR="00DA67DD" w:rsidRPr="0083292E" w:rsidRDefault="00DA67DD" w:rsidP="00DA67DD">
      <w:pPr>
        <w:ind w:left="567"/>
        <w:rPr>
          <w:rFonts w:cs="Times New Roman"/>
          <w:sz w:val="20"/>
          <w:szCs w:val="20"/>
        </w:rPr>
      </w:pPr>
    </w:p>
    <w:p w14:paraId="141FA692" w14:textId="77777777" w:rsidR="00DA67DD" w:rsidRPr="0083292E" w:rsidRDefault="00DA67DD" w:rsidP="00DA67DD">
      <w:pPr>
        <w:ind w:left="567"/>
        <w:rPr>
          <w:rFonts w:cs="Times New Roman"/>
          <w:sz w:val="20"/>
          <w:szCs w:val="20"/>
          <w:lang w:val="en-US"/>
        </w:rPr>
      </w:pPr>
      <w:r>
        <w:rPr>
          <w:sz w:val="20"/>
        </w:rPr>
        <w:fldChar w:fldCharType="begin">
          <w:ffData>
            <w:name w:val="CaseACocher1"/>
            <w:enabled/>
            <w:calcOnExit w:val="0"/>
            <w:checkBox>
              <w:sizeAuto/>
              <w:default w:val="0"/>
            </w:checkBox>
          </w:ffData>
        </w:fldChar>
      </w:r>
      <w:r>
        <w:rPr>
          <w:sz w:val="20"/>
          <w:lang w:val="en-US"/>
        </w:rPr>
        <w:instrText xml:space="preserve"> FORMCHECKBOX </w:instrText>
      </w:r>
      <w:r>
        <w:rPr>
          <w:sz w:val="20"/>
        </w:rPr>
      </w:r>
      <w:r>
        <w:rPr>
          <w:sz w:val="20"/>
        </w:rPr>
        <w:fldChar w:fldCharType="separate"/>
      </w:r>
      <w:r>
        <w:rPr>
          <w:sz w:val="20"/>
        </w:rPr>
        <w:fldChar w:fldCharType="end"/>
      </w:r>
      <w:r w:rsidRPr="0083292E">
        <w:rPr>
          <w:rFonts w:cs="Times New Roman"/>
          <w:b/>
          <w:bCs/>
          <w:sz w:val="20"/>
          <w:szCs w:val="20"/>
          <w:lang w:val="en-US"/>
        </w:rPr>
        <w:t xml:space="preserve"> </w:t>
      </w:r>
      <w:r w:rsidRPr="0083292E">
        <w:rPr>
          <w:rFonts w:cs="Times New Roman"/>
          <w:sz w:val="20"/>
          <w:szCs w:val="20"/>
          <w:lang w:val="en-US"/>
        </w:rPr>
        <w:t>No</w:t>
      </w:r>
    </w:p>
    <w:p w14:paraId="1D45DFE5" w14:textId="77777777" w:rsidR="00DA67DD" w:rsidRPr="0083292E" w:rsidRDefault="00DA67DD" w:rsidP="00DA67DD">
      <w:pPr>
        <w:ind w:left="567"/>
        <w:rPr>
          <w:rFonts w:cs="Times New Roman"/>
          <w:sz w:val="20"/>
          <w:szCs w:val="20"/>
        </w:rPr>
      </w:pPr>
    </w:p>
    <w:p w14:paraId="1CAB23A8" w14:textId="77777777" w:rsidR="00DA67DD" w:rsidRPr="0083292E" w:rsidRDefault="00DA67DD" w:rsidP="00DA67DD">
      <w:pPr>
        <w:pStyle w:val="Listemoyenne2-Accent41"/>
        <w:ind w:left="567"/>
        <w:jc w:val="both"/>
        <w:outlineLvl w:val="1"/>
        <w:rPr>
          <w:rFonts w:ascii="Times New Roman" w:eastAsia="Times New Roman" w:hAnsi="Times New Roman"/>
          <w:sz w:val="20"/>
          <w:szCs w:val="20"/>
          <w:lang w:val="en-US"/>
        </w:rPr>
      </w:pPr>
      <w:bookmarkStart w:id="1" w:name="_Toc148460622"/>
      <w:r w:rsidRPr="0083292E">
        <w:rPr>
          <w:rFonts w:ascii="Times New Roman" w:eastAsia="Times New Roman" w:hAnsi="Times New Roman"/>
          <w:sz w:val="20"/>
          <w:szCs w:val="20"/>
          <w:lang w:val="en-US"/>
        </w:rPr>
        <w:t>Elaia Partners has chosen to analyse the Principal Adverse Impacts on sustainability factors (“PAI") of potential investee companies during its investment process.</w:t>
      </w:r>
      <w:bookmarkEnd w:id="1"/>
    </w:p>
    <w:p w14:paraId="6C839C7D" w14:textId="77777777" w:rsidR="00DA67DD" w:rsidRPr="0083292E" w:rsidRDefault="00DA67DD" w:rsidP="00DA67DD">
      <w:pPr>
        <w:pStyle w:val="Listemoyenne2-Accent41"/>
        <w:ind w:left="567"/>
        <w:jc w:val="both"/>
        <w:outlineLvl w:val="1"/>
        <w:rPr>
          <w:rFonts w:ascii="Times New Roman" w:eastAsia="Times New Roman" w:hAnsi="Times New Roman"/>
          <w:sz w:val="20"/>
          <w:szCs w:val="20"/>
          <w:lang w:val="en-US"/>
        </w:rPr>
      </w:pPr>
    </w:p>
    <w:p w14:paraId="10174F4D" w14:textId="77777777" w:rsidR="00DA67DD" w:rsidRPr="0083292E" w:rsidRDefault="00DA67DD" w:rsidP="00DA67DD">
      <w:pPr>
        <w:pStyle w:val="Listemoyenne2-Accent41"/>
        <w:ind w:left="567"/>
        <w:jc w:val="both"/>
        <w:outlineLvl w:val="1"/>
        <w:rPr>
          <w:rFonts w:ascii="Times New Roman" w:eastAsia="Times New Roman" w:hAnsi="Times New Roman"/>
          <w:sz w:val="20"/>
          <w:szCs w:val="20"/>
          <w:lang w:val="en-US"/>
        </w:rPr>
      </w:pPr>
      <w:bookmarkStart w:id="2" w:name="_Toc148460623"/>
      <w:r w:rsidRPr="0083292E">
        <w:rPr>
          <w:rFonts w:ascii="Times New Roman" w:eastAsia="Times New Roman" w:hAnsi="Times New Roman"/>
          <w:sz w:val="20"/>
          <w:szCs w:val="20"/>
          <w:lang w:val="en-US"/>
        </w:rPr>
        <w:t>At management company-level for all managed funds, Elaia Partners has chosen to consider and monitor 16 indicators:</w:t>
      </w:r>
      <w:bookmarkEnd w:id="2"/>
    </w:p>
    <w:p w14:paraId="6949FDC9" w14:textId="77777777" w:rsidR="00DA67DD" w:rsidRPr="0083292E" w:rsidRDefault="00DA67DD" w:rsidP="00DA67DD">
      <w:pPr>
        <w:ind w:left="567" w:firstLine="426"/>
        <w:rPr>
          <w:rFonts w:cs="Times New Roman"/>
          <w:sz w:val="20"/>
          <w:szCs w:val="20"/>
          <w:lang w:val="en-US"/>
        </w:rPr>
      </w:pPr>
      <w:r w:rsidRPr="0083292E">
        <w:rPr>
          <w:rFonts w:cs="Times New Roman"/>
          <w:sz w:val="20"/>
          <w:szCs w:val="20"/>
          <w:lang w:val="en-US"/>
        </w:rPr>
        <w:t xml:space="preserve">Climate and other environment indicators: </w:t>
      </w:r>
    </w:p>
    <w:p w14:paraId="5699E66E"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GHG Emissions (Scope 1,2,3 &amp; Total)</w:t>
      </w:r>
    </w:p>
    <w:p w14:paraId="6929DEB4"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Carbon Footprint</w:t>
      </w:r>
    </w:p>
    <w:p w14:paraId="065189F1"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GHG Intensity</w:t>
      </w:r>
    </w:p>
    <w:p w14:paraId="0125A145"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Fossil fuel sector</w:t>
      </w:r>
    </w:p>
    <w:p w14:paraId="1BA888D2"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Non-renewable energy consumption and production</w:t>
      </w:r>
    </w:p>
    <w:p w14:paraId="2B958EF9"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Energy consumption intensity per high climate impact sector</w:t>
      </w:r>
    </w:p>
    <w:p w14:paraId="239AABA8"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Biodiversity sensitive areas</w:t>
      </w:r>
    </w:p>
    <w:p w14:paraId="7FB808E8"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Water consumption</w:t>
      </w:r>
    </w:p>
    <w:p w14:paraId="523AAFAB"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Hazardous waste ratio</w:t>
      </w:r>
    </w:p>
    <w:p w14:paraId="30720D43" w14:textId="77777777" w:rsidR="00DA67DD" w:rsidRPr="0083292E" w:rsidRDefault="00DA67DD" w:rsidP="00DA67DD">
      <w:pPr>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53"/>
        <w:jc w:val="left"/>
        <w:rPr>
          <w:rFonts w:cs="Times New Roman"/>
          <w:sz w:val="20"/>
          <w:szCs w:val="20"/>
          <w:lang w:val="en-US"/>
        </w:rPr>
      </w:pPr>
      <w:r w:rsidRPr="0083292E">
        <w:rPr>
          <w:rFonts w:cs="Times New Roman"/>
          <w:sz w:val="20"/>
          <w:szCs w:val="20"/>
          <w:lang w:val="en-US"/>
        </w:rPr>
        <w:t xml:space="preserve">Existence of carbon emission reduction initiatives </w:t>
      </w:r>
    </w:p>
    <w:p w14:paraId="22738A86" w14:textId="77777777" w:rsidR="00DA67DD" w:rsidRPr="0083292E" w:rsidRDefault="00DA67DD" w:rsidP="00DA67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imes New Roman"/>
          <w:sz w:val="20"/>
          <w:szCs w:val="20"/>
          <w:highlight w:val="yellow"/>
          <w:lang w:val="en-US"/>
        </w:rPr>
      </w:pPr>
    </w:p>
    <w:p w14:paraId="4595FF96" w14:textId="77777777" w:rsidR="00DA67DD" w:rsidRPr="0083292E" w:rsidRDefault="00DA67DD" w:rsidP="00DA67DD">
      <w:pPr>
        <w:ind w:left="567" w:firstLine="426"/>
        <w:rPr>
          <w:rFonts w:cs="Times New Roman"/>
          <w:sz w:val="20"/>
          <w:szCs w:val="20"/>
          <w:lang w:val="en-US"/>
        </w:rPr>
      </w:pPr>
      <w:r w:rsidRPr="0083292E">
        <w:rPr>
          <w:rFonts w:cs="Times New Roman"/>
          <w:sz w:val="20"/>
          <w:szCs w:val="20"/>
          <w:lang w:val="en-US"/>
        </w:rPr>
        <w:t>Social and governance indicators</w:t>
      </w:r>
    </w:p>
    <w:p w14:paraId="267AED38" w14:textId="77777777" w:rsidR="00DA67DD" w:rsidRPr="0083292E" w:rsidRDefault="00DA67DD" w:rsidP="00DA67DD">
      <w:pPr>
        <w:numPr>
          <w:ilvl w:val="0"/>
          <w:numId w:val="1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42"/>
        <w:jc w:val="left"/>
        <w:rPr>
          <w:rFonts w:cs="Times New Roman"/>
          <w:sz w:val="20"/>
          <w:szCs w:val="20"/>
          <w:lang w:val="en-US"/>
        </w:rPr>
      </w:pPr>
      <w:r w:rsidRPr="0083292E">
        <w:rPr>
          <w:rFonts w:cs="Times New Roman"/>
          <w:sz w:val="20"/>
          <w:szCs w:val="20"/>
          <w:lang w:val="en-US"/>
        </w:rPr>
        <w:t>Violations of UN Global Compact principles and OECD Guidelines</w:t>
      </w:r>
    </w:p>
    <w:p w14:paraId="54EB3B02" w14:textId="77777777" w:rsidR="00DA67DD" w:rsidRPr="0083292E" w:rsidRDefault="00DA67DD" w:rsidP="00DA67DD">
      <w:pPr>
        <w:numPr>
          <w:ilvl w:val="0"/>
          <w:numId w:val="1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42"/>
        <w:jc w:val="left"/>
        <w:rPr>
          <w:rFonts w:cs="Times New Roman"/>
          <w:sz w:val="20"/>
          <w:szCs w:val="20"/>
          <w:lang w:val="en-US"/>
        </w:rPr>
      </w:pPr>
      <w:r w:rsidRPr="0083292E">
        <w:rPr>
          <w:rFonts w:cs="Times New Roman"/>
          <w:sz w:val="20"/>
          <w:szCs w:val="20"/>
          <w:lang w:val="en-US"/>
        </w:rPr>
        <w:t>Lack of processes and compliance mechanisms to monitor compliance with UN Global Compact principles and</w:t>
      </w:r>
      <w:r w:rsidRPr="0083292E">
        <w:rPr>
          <w:rFonts w:eastAsia="MS Gothic" w:cs="Times New Roman"/>
          <w:sz w:val="20"/>
          <w:szCs w:val="20"/>
          <w:lang w:val="en-US"/>
        </w:rPr>
        <w:t> </w:t>
      </w:r>
      <w:r w:rsidRPr="0083292E">
        <w:rPr>
          <w:rFonts w:cs="Times New Roman"/>
          <w:sz w:val="20"/>
          <w:szCs w:val="20"/>
          <w:lang w:val="en-US"/>
        </w:rPr>
        <w:t>OECD Guidelines</w:t>
      </w:r>
    </w:p>
    <w:p w14:paraId="5F43A85F" w14:textId="77777777" w:rsidR="00DA67DD" w:rsidRPr="0083292E" w:rsidRDefault="00DA67DD" w:rsidP="00DA67DD">
      <w:pPr>
        <w:numPr>
          <w:ilvl w:val="0"/>
          <w:numId w:val="1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42"/>
        <w:jc w:val="left"/>
        <w:rPr>
          <w:rFonts w:cs="Times New Roman"/>
          <w:sz w:val="20"/>
          <w:szCs w:val="20"/>
          <w:lang w:val="en-US"/>
        </w:rPr>
      </w:pPr>
      <w:r w:rsidRPr="0083292E">
        <w:rPr>
          <w:rFonts w:cs="Times New Roman"/>
          <w:sz w:val="20"/>
          <w:szCs w:val="20"/>
          <w:lang w:val="en-US"/>
        </w:rPr>
        <w:t>Gender pay gap</w:t>
      </w:r>
    </w:p>
    <w:p w14:paraId="419F2CE3" w14:textId="77777777" w:rsidR="00DA67DD" w:rsidRPr="0083292E" w:rsidRDefault="00DA67DD" w:rsidP="00DA67DD">
      <w:pPr>
        <w:numPr>
          <w:ilvl w:val="0"/>
          <w:numId w:val="1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42"/>
        <w:jc w:val="left"/>
        <w:rPr>
          <w:rFonts w:cs="Times New Roman"/>
          <w:sz w:val="20"/>
          <w:szCs w:val="20"/>
          <w:lang w:val="en-US"/>
        </w:rPr>
      </w:pPr>
      <w:r w:rsidRPr="0083292E">
        <w:rPr>
          <w:rFonts w:cs="Times New Roman"/>
          <w:sz w:val="20"/>
          <w:szCs w:val="20"/>
          <w:lang w:val="en-US"/>
        </w:rPr>
        <w:t>Board gender diversity</w:t>
      </w:r>
    </w:p>
    <w:p w14:paraId="1289DB48" w14:textId="77777777" w:rsidR="00DA67DD" w:rsidRPr="0083292E" w:rsidRDefault="00DA67DD" w:rsidP="00DA67DD">
      <w:pPr>
        <w:numPr>
          <w:ilvl w:val="0"/>
          <w:numId w:val="1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42"/>
        <w:jc w:val="left"/>
        <w:rPr>
          <w:rFonts w:cs="Times New Roman"/>
          <w:sz w:val="20"/>
          <w:szCs w:val="20"/>
          <w:lang w:val="en-US"/>
        </w:rPr>
      </w:pPr>
      <w:r w:rsidRPr="0083292E">
        <w:rPr>
          <w:rFonts w:cs="Times New Roman"/>
          <w:sz w:val="20"/>
          <w:szCs w:val="20"/>
          <w:lang w:val="en-US"/>
        </w:rPr>
        <w:t>Exposure to controversial weapons</w:t>
      </w:r>
    </w:p>
    <w:p w14:paraId="4DAE1253" w14:textId="77777777" w:rsidR="00DA67DD" w:rsidRPr="0083292E" w:rsidRDefault="00DA67DD" w:rsidP="00DA67DD">
      <w:pPr>
        <w:numPr>
          <w:ilvl w:val="0"/>
          <w:numId w:val="1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142"/>
        <w:jc w:val="left"/>
        <w:rPr>
          <w:rFonts w:cs="Times New Roman"/>
          <w:sz w:val="20"/>
          <w:szCs w:val="20"/>
          <w:lang w:val="en-US"/>
        </w:rPr>
      </w:pPr>
      <w:r w:rsidRPr="0083292E">
        <w:rPr>
          <w:rFonts w:cs="Times New Roman"/>
          <w:sz w:val="20"/>
          <w:szCs w:val="20"/>
          <w:lang w:val="en-US"/>
        </w:rPr>
        <w:t xml:space="preserve">Existence of workplace accident prevention policies </w:t>
      </w:r>
    </w:p>
    <w:p w14:paraId="2A01EAB2" w14:textId="77777777" w:rsidR="00DA67DD" w:rsidRPr="0083292E" w:rsidRDefault="00DA67DD" w:rsidP="00DA67DD">
      <w:pPr>
        <w:pStyle w:val="Listemoyenne2-Accent41"/>
        <w:ind w:left="0"/>
        <w:jc w:val="both"/>
        <w:outlineLvl w:val="1"/>
        <w:rPr>
          <w:rFonts w:ascii="Times New Roman" w:eastAsia="Times New Roman" w:hAnsi="Times New Roman"/>
          <w:sz w:val="20"/>
          <w:szCs w:val="20"/>
          <w:lang w:val="en-US"/>
        </w:rPr>
      </w:pPr>
    </w:p>
    <w:p w14:paraId="269581C3" w14:textId="77777777" w:rsidR="00DA67DD" w:rsidRPr="0083292E" w:rsidRDefault="00DA67DD" w:rsidP="00DA67DD">
      <w:pPr>
        <w:pStyle w:val="Listemoyenne2-Accent41"/>
        <w:ind w:left="567"/>
        <w:jc w:val="both"/>
        <w:outlineLvl w:val="1"/>
        <w:rPr>
          <w:rFonts w:ascii="Times New Roman" w:eastAsia="Times New Roman" w:hAnsi="Times New Roman"/>
          <w:sz w:val="20"/>
          <w:szCs w:val="20"/>
          <w:lang w:val="en-US"/>
        </w:rPr>
      </w:pPr>
      <w:bookmarkStart w:id="3" w:name="_Toc148460624"/>
      <w:r w:rsidRPr="0083292E">
        <w:rPr>
          <w:rFonts w:ascii="Times New Roman" w:eastAsia="Times New Roman" w:hAnsi="Times New Roman"/>
          <w:sz w:val="20"/>
          <w:szCs w:val="20"/>
          <w:lang w:val="en-US"/>
        </w:rPr>
        <w:t>A specific ESG due diligence is carried out for each potential investee company, which allows to conclude if any indicator, other than the 16 indicators above, is relevant to the company.</w:t>
      </w:r>
      <w:bookmarkEnd w:id="3"/>
    </w:p>
    <w:p w14:paraId="509FDA2C" w14:textId="77777777" w:rsidR="00DA67DD" w:rsidRPr="0083292E" w:rsidRDefault="00DA67DD" w:rsidP="00DA67DD">
      <w:pPr>
        <w:pStyle w:val="Listemoyenne2-Accent41"/>
        <w:ind w:left="567"/>
        <w:jc w:val="both"/>
        <w:outlineLvl w:val="1"/>
        <w:rPr>
          <w:rFonts w:ascii="Times New Roman" w:eastAsia="Times New Roman" w:hAnsi="Times New Roman"/>
          <w:sz w:val="20"/>
          <w:szCs w:val="20"/>
          <w:lang w:val="en-US"/>
        </w:rPr>
      </w:pPr>
    </w:p>
    <w:p w14:paraId="1F81BD00" w14:textId="77777777" w:rsidR="00DA67DD" w:rsidRPr="0083292E" w:rsidRDefault="00DA67DD" w:rsidP="00DA67DD">
      <w:pPr>
        <w:pStyle w:val="Listemoyenne2-Accent41"/>
        <w:ind w:left="567"/>
        <w:jc w:val="both"/>
        <w:outlineLvl w:val="1"/>
        <w:rPr>
          <w:rFonts w:ascii="Times New Roman" w:eastAsia="Times New Roman" w:hAnsi="Times New Roman"/>
          <w:sz w:val="20"/>
          <w:szCs w:val="20"/>
          <w:lang w:val="en-US"/>
        </w:rPr>
      </w:pPr>
      <w:bookmarkStart w:id="4" w:name="_Toc148460625"/>
      <w:r w:rsidRPr="0083292E">
        <w:rPr>
          <w:rFonts w:ascii="Times New Roman" w:eastAsia="Times New Roman" w:hAnsi="Times New Roman"/>
          <w:sz w:val="20"/>
          <w:szCs w:val="20"/>
          <w:lang w:val="en-US"/>
        </w:rPr>
        <w:t>The due diligence results in an evaluation table listing each PAI, allowing to assess qualitatively the  risk exposure, the vulnerability and financial impact of the PAI. Furthermore, the analysis concludes with associated actions aimed to reduce the PAI and their financial impact.</w:t>
      </w:r>
      <w:bookmarkEnd w:id="4"/>
    </w:p>
    <w:p w14:paraId="4F3C7BDF"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Elaia Partners publishes, on its website, a Statement to this effect, in compliance with Article 11, and Annex 1 of the regulatory technical standards, of the Regulation (EU) 2019/2088, for each fiscal year, starting on 2023, with reference period of fiscal year 2022.</w:t>
      </w:r>
    </w:p>
    <w:p w14:paraId="5E68EFCE" w14:textId="77777777" w:rsidR="00DA67DD" w:rsidRPr="0083292E" w:rsidRDefault="00DA67DD" w:rsidP="00DA67DD">
      <w:pPr>
        <w:ind w:left="567"/>
        <w:rPr>
          <w:rFonts w:cs="Times New Roman"/>
          <w:sz w:val="20"/>
          <w:szCs w:val="20"/>
        </w:rPr>
      </w:pPr>
    </w:p>
    <w:p w14:paraId="7AC48AD9" w14:textId="77777777" w:rsidR="00DA67DD" w:rsidRDefault="00DA67DD" w:rsidP="00DA67DD">
      <w:pPr>
        <w:ind w:left="567"/>
        <w:rPr>
          <w:rFonts w:cs="Times New Roman"/>
          <w:sz w:val="20"/>
          <w:szCs w:val="20"/>
          <w:lang w:val="en-US"/>
        </w:rPr>
      </w:pPr>
      <w:r w:rsidRPr="0083292E">
        <w:rPr>
          <w:rFonts w:cs="Times New Roman"/>
          <w:sz w:val="20"/>
          <w:szCs w:val="20"/>
          <w:lang w:val="en-US"/>
        </w:rPr>
        <w:t>A more detailed description of how main adverse impacts are incorporated into the investment process can be found in the Management Company’s ESG policy, available on its website.</w:t>
      </w:r>
    </w:p>
    <w:p w14:paraId="610F9EF1" w14:textId="77777777" w:rsidR="00DA67DD" w:rsidRDefault="00DA67DD" w:rsidP="00DA67DD">
      <w:pPr>
        <w:ind w:left="426"/>
        <w:rPr>
          <w:rFonts w:cs="Times New Roman"/>
          <w:sz w:val="20"/>
          <w:szCs w:val="20"/>
          <w:lang w:val="en-US"/>
        </w:rPr>
      </w:pPr>
    </w:p>
    <w:p w14:paraId="2F5163FC" w14:textId="77777777" w:rsidR="00DA67DD" w:rsidRDefault="00DA67DD" w:rsidP="00DA67DD">
      <w:pPr>
        <w:ind w:left="426"/>
        <w:rPr>
          <w:rFonts w:cs="Times New Roman"/>
          <w:sz w:val="20"/>
          <w:szCs w:val="20"/>
          <w:lang w:val="en-US"/>
        </w:rPr>
      </w:pPr>
    </w:p>
    <w:p w14:paraId="60758B9E" w14:textId="77777777" w:rsidR="00DA67DD" w:rsidRDefault="00DA67DD" w:rsidP="00DA67DD">
      <w:pPr>
        <w:ind w:left="426"/>
        <w:rPr>
          <w:rFonts w:cs="Times New Roman"/>
          <w:sz w:val="20"/>
          <w:szCs w:val="20"/>
          <w:lang w:val="en-US"/>
        </w:rPr>
      </w:pPr>
    </w:p>
    <w:p w14:paraId="187A1AC5" w14:textId="77777777" w:rsidR="00DA67DD" w:rsidRDefault="00DA67DD" w:rsidP="00DA67DD">
      <w:pPr>
        <w:ind w:left="426"/>
        <w:rPr>
          <w:rFonts w:cs="Times New Roman"/>
          <w:sz w:val="20"/>
          <w:szCs w:val="20"/>
          <w:lang w:val="en-US"/>
        </w:rPr>
      </w:pPr>
    </w:p>
    <w:p w14:paraId="1F61C066" w14:textId="77777777" w:rsidR="00DA67DD" w:rsidRDefault="00DA67DD" w:rsidP="00DA67DD">
      <w:pPr>
        <w:ind w:left="426"/>
        <w:rPr>
          <w:rFonts w:cs="Times New Roman"/>
          <w:sz w:val="20"/>
          <w:szCs w:val="20"/>
          <w:lang w:val="en-US"/>
        </w:rPr>
      </w:pPr>
    </w:p>
    <w:p w14:paraId="041ED1D0" w14:textId="77777777" w:rsidR="00DA67DD" w:rsidRDefault="00DA67DD" w:rsidP="00DA67DD">
      <w:pPr>
        <w:ind w:left="426"/>
        <w:rPr>
          <w:rFonts w:cs="Times New Roman"/>
          <w:sz w:val="20"/>
          <w:szCs w:val="20"/>
          <w:lang w:val="en-US"/>
        </w:rPr>
      </w:pPr>
    </w:p>
    <w:p w14:paraId="2D63DA5A" w14:textId="77777777" w:rsidR="00DA67DD" w:rsidRDefault="00DA67DD" w:rsidP="00DA67DD">
      <w:pPr>
        <w:ind w:left="426"/>
        <w:rPr>
          <w:rFonts w:cs="Times New Roman"/>
          <w:sz w:val="20"/>
          <w:szCs w:val="20"/>
          <w:lang w:val="en-US"/>
        </w:rPr>
      </w:pPr>
    </w:p>
    <w:p w14:paraId="6ABC749A" w14:textId="77777777" w:rsidR="00DA67DD" w:rsidRDefault="00DA67DD" w:rsidP="00DA67DD">
      <w:pPr>
        <w:ind w:left="426"/>
        <w:rPr>
          <w:rFonts w:cs="Times New Roman"/>
          <w:sz w:val="20"/>
          <w:szCs w:val="20"/>
          <w:lang w:val="en-US"/>
        </w:rPr>
      </w:pPr>
    </w:p>
    <w:p w14:paraId="5AD223D7" w14:textId="77777777" w:rsidR="00DA67DD" w:rsidRPr="0083292E" w:rsidRDefault="00DA67DD" w:rsidP="00DA67DD">
      <w:pPr>
        <w:ind w:left="426"/>
        <w:rPr>
          <w:rFonts w:cs="Times New Roman"/>
          <w:sz w:val="20"/>
          <w:szCs w:val="20"/>
          <w:lang w:val="en-US"/>
        </w:rPr>
      </w:pPr>
    </w:p>
    <w:p w14:paraId="4AB5DE86" w14:textId="77777777" w:rsidR="00DA67DD" w:rsidRPr="0083292E" w:rsidRDefault="00DA67DD" w:rsidP="00DA67DD">
      <w:pPr>
        <w:ind w:left="426"/>
        <w:rPr>
          <w:rFonts w:cs="Times New Roman"/>
          <w:sz w:val="20"/>
          <w:szCs w:val="20"/>
        </w:rPr>
      </w:pPr>
      <w:r w:rsidRPr="0083292E">
        <w:rPr>
          <w:rFonts w:cs="Times New Roman"/>
          <w:noProof/>
          <w:sz w:val="20"/>
          <w:szCs w:val="20"/>
        </w:rPr>
        <w:drawing>
          <wp:anchor distT="0" distB="0" distL="114300" distR="114300" simplePos="0" relativeHeight="251669504" behindDoc="0" locked="0" layoutInCell="1" allowOverlap="1" wp14:anchorId="1CACC350" wp14:editId="2ACD99BF">
            <wp:simplePos x="0" y="0"/>
            <wp:positionH relativeFrom="column">
              <wp:posOffset>0</wp:posOffset>
            </wp:positionH>
            <wp:positionV relativeFrom="paragraph">
              <wp:posOffset>84323</wp:posOffset>
            </wp:positionV>
            <wp:extent cx="1343025" cy="719455"/>
            <wp:effectExtent l="0" t="0" r="9525" b="4445"/>
            <wp:wrapSquare wrapText="bothSides"/>
            <wp:docPr id="196910356" name="Image 196910356"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69857" w14:textId="77777777" w:rsidR="00DA67DD" w:rsidRPr="0083292E" w:rsidRDefault="00DA67DD" w:rsidP="00DA67DD">
      <w:pPr>
        <w:ind w:left="426"/>
        <w:rPr>
          <w:rFonts w:cs="Times New Roman"/>
          <w:sz w:val="20"/>
          <w:szCs w:val="20"/>
        </w:rPr>
      </w:pPr>
    </w:p>
    <w:p w14:paraId="69AF1D64" w14:textId="77777777" w:rsidR="00DA67DD" w:rsidRPr="0083292E" w:rsidRDefault="00DA67DD" w:rsidP="00DA67DD">
      <w:pPr>
        <w:numPr>
          <w:ilvl w:val="3"/>
          <w:numId w:val="5"/>
        </w:numPr>
        <w:ind w:left="426"/>
        <w:rPr>
          <w:rFonts w:cs="Times New Roman"/>
          <w:sz w:val="20"/>
          <w:szCs w:val="20"/>
        </w:rPr>
      </w:pPr>
      <w:r w:rsidRPr="0083292E">
        <w:rPr>
          <w:rFonts w:cs="Times New Roman"/>
          <w:b/>
          <w:sz w:val="20"/>
          <w:szCs w:val="20"/>
        </w:rPr>
        <w:t>What investment strategy does this financial product follow?</w:t>
      </w:r>
    </w:p>
    <w:p w14:paraId="7E0772B8" w14:textId="77777777" w:rsidR="00DA67DD" w:rsidRPr="0083292E" w:rsidRDefault="00DA67DD" w:rsidP="00DA67DD">
      <w:pPr>
        <w:ind w:left="426"/>
        <w:rPr>
          <w:rFonts w:cs="Times New Roman"/>
          <w:sz w:val="20"/>
          <w:szCs w:val="20"/>
        </w:rPr>
      </w:pPr>
    </w:p>
    <w:p w14:paraId="7EC90489" w14:textId="77777777" w:rsidR="00DA67DD" w:rsidRPr="0083292E" w:rsidRDefault="00DA67DD" w:rsidP="00DA67DD">
      <w:pPr>
        <w:ind w:left="426"/>
        <w:rPr>
          <w:rFonts w:cs="Times New Roman"/>
          <w:b/>
          <w:sz w:val="20"/>
          <w:szCs w:val="20"/>
        </w:rPr>
      </w:pPr>
    </w:p>
    <w:p w14:paraId="00BFFA2E" w14:textId="77777777" w:rsidR="00DA67DD" w:rsidRPr="0083292E" w:rsidRDefault="00DA67DD" w:rsidP="00DA67DD">
      <w:pPr>
        <w:ind w:left="426"/>
        <w:rPr>
          <w:rFonts w:cs="Times New Roman"/>
          <w:b/>
          <w:sz w:val="20"/>
          <w:szCs w:val="20"/>
        </w:rPr>
      </w:pPr>
      <w:r w:rsidRPr="003A1C01">
        <w:rPr>
          <w:rFonts w:ascii="Calibri" w:eastAsia="Calibri" w:hAnsi="Calibri"/>
          <w:noProof/>
          <w:sz w:val="18"/>
          <w:szCs w:val="18"/>
        </w:rPr>
        <mc:AlternateContent>
          <mc:Choice Requires="wps">
            <w:drawing>
              <wp:anchor distT="0" distB="0" distL="114300" distR="114300" simplePos="0" relativeHeight="251674624" behindDoc="0" locked="0" layoutInCell="1" allowOverlap="1" wp14:anchorId="2C900B61" wp14:editId="2D115DA8">
                <wp:simplePos x="0" y="0"/>
                <wp:positionH relativeFrom="page">
                  <wp:posOffset>24130</wp:posOffset>
                </wp:positionH>
                <wp:positionV relativeFrom="page">
                  <wp:posOffset>1342531</wp:posOffset>
                </wp:positionV>
                <wp:extent cx="1034415" cy="1178560"/>
                <wp:effectExtent l="0" t="0" r="0" b="2540"/>
                <wp:wrapSquare wrapText="bothSides"/>
                <wp:docPr id="26" name="Rectangle 26"/>
                <wp:cNvGraphicFramePr/>
                <a:graphic xmlns:a="http://schemas.openxmlformats.org/drawingml/2006/main">
                  <a:graphicData uri="http://schemas.microsoft.com/office/word/2010/wordprocessingShape">
                    <wps:wsp>
                      <wps:cNvSpPr/>
                      <wps:spPr>
                        <a:xfrm>
                          <a:off x="0" y="0"/>
                          <a:ext cx="1034415" cy="1178560"/>
                        </a:xfrm>
                        <a:prstGeom prst="rect">
                          <a:avLst/>
                        </a:prstGeom>
                        <a:solidFill>
                          <a:sysClr val="window" lastClr="FFFFFF">
                            <a:lumMod val="95000"/>
                          </a:sysClr>
                        </a:solidFill>
                        <a:ln w="12700" cap="flat" cmpd="sng" algn="ctr">
                          <a:noFill/>
                          <a:prstDash val="solid"/>
                          <a:miter lim="800000"/>
                        </a:ln>
                        <a:effectLst/>
                      </wps:spPr>
                      <wps:txbx>
                        <w:txbxContent>
                          <w:p w14:paraId="403C116C" w14:textId="77777777" w:rsidR="00DA67DD" w:rsidRPr="00A21C2F" w:rsidRDefault="00DA67DD" w:rsidP="00DA67DD">
                            <w:pPr>
                              <w:ind w:left="-142" w:right="-258"/>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The investment strategy </w:t>
                            </w:r>
                            <w:r w:rsidRPr="00A21C2F">
                              <w:rPr>
                                <w:rFonts w:asciiTheme="minorHAnsi" w:hAnsiTheme="minorHAnsi" w:cstheme="minorHAnsi"/>
                                <w:bCs/>
                                <w:color w:val="000000"/>
                                <w:sz w:val="18"/>
                                <w:szCs w:val="21"/>
                              </w:rPr>
                              <w:t>guides investment decisions based on factors such as investment objectives and risk tolerance.</w:t>
                            </w:r>
                          </w:p>
                          <w:p w14:paraId="5B754129" w14:textId="77777777" w:rsidR="00DA67DD" w:rsidRPr="00A21C2F" w:rsidRDefault="00DA67DD" w:rsidP="00DA67DD">
                            <w:pPr>
                              <w:ind w:left="-142"/>
                              <w:rPr>
                                <w:color w:val="000000"/>
                                <w:sz w:val="16"/>
                                <w:szCs w:val="16"/>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00B61" id="Rectangle 26" o:spid="_x0000_s1030" style="position:absolute;left:0;text-align:left;margin-left:1.9pt;margin-top:105.7pt;width:81.45pt;height:92.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qwGfAIAAOgEAAAOAAAAZHJzL2Uyb0RvYy54bWysVMtOGzEU3VfqP1jel5kJCdCICYpAqSpR&#13;&#10;QIKKtePxZCz5VdvJJP36HnvyoLSrqlk49+X7OD53rm+2WpGN8EFaU9PqrKREGG4baVY1/f6y+HRF&#13;&#10;SYjMNExZI2q6E4HezD5+uO7dVIxsZ1UjPEESE6a9q2kXo5sWReCd0CycWScMnK31mkWoflU0nvXI&#13;&#10;rlUxKsuLore+cd5yEQKsd4OTznL+thU8PrZtEJGomqK3mE+fz2U6i9k1m648c53k+zbYP3ShmTQo&#13;&#10;ekx1xyIjay//SKUl9zbYNp5xqwvbtpKLPAOmqcp30zx3zIk8C8AJ7ghT+H9p+cPm2T15wNC7MA0Q&#13;&#10;0xTb1uv0j/7INoO1O4IltpFwGKvyfDyuJpRw+Krq8mpykeEsTtedD/GLsJokoaYer5FBYpv7EFES&#13;&#10;oYeQVC1YJZuFVCoru3CrPNkwPBzeu7E9JYqFCGNNF/mXc6m1/mabIe7zpCwPPYR8P9f4La8ypEe/&#13;&#10;o0tEEs5AuVaxCFG7pqbBrChhagUu8+hzAWNTS5knqdk7FrqhWk47EEjLCBYrqWt6hRaOTSiTRhGZ&#13;&#10;h/uRTzAnKW6XWyJReJwSJcvSNrsnT7wdqBocX0iUvcfoT8yDm2gb+xYfcbTKYha7lyjprP/5N3uK&#13;&#10;B2XgpaQH1zHnjzXzAoh+NSBTNR6nnknM2vlFVnxWRhNsGVzLrI0nlyMoZq1vLd6lwm47nkVYfVQH&#13;&#10;sfVWv2Ix56kuXMxwVB8w3Su3cdhCrDYX83kOw0o4Fu/Ns+MpecIuQf6yfWXe7UkUwb8He9gMNn3H&#13;&#10;pSE23TR2vo62lZloJ2TBiKRgnTI39quf9vWtnqNOH6jZLwAAAP//AwBQSwMEFAAGAAgAAAAhADJz&#13;&#10;2DPjAAAADgEAAA8AAABkcnMvZG93bnJldi54bWxMj8FOwzAMhu9IvENkJG4s7UDt6JpOjAkxaXBg&#13;&#10;g3vWmLZa41RN1pa3xzvBxZL1yb+/P19NthUD9r5xpCCeRSCQSmcaqhR8Hl7uFiB80GR06wgV/KCH&#13;&#10;VXF9levMuJE+cNiHSnAI+UwrqEPoMil9WaPVfuY6JGbfrrc68NpX0vR65HDbynkUJdLqhvhDrTt8&#13;&#10;rrE87c9WQbM9xWb9Frbp6/jeDnqz+5rWqVK3N9NmyeNpCSLgFP4u4NKB/aFgsaM7k/GiVXDP9kHB&#13;&#10;PI4fQFx4kqQgjgwe0whkkcv/NYpfAAAA//8DAFBLAQItABQABgAIAAAAIQC2gziS/gAAAOEBAAAT&#13;&#10;AAAAAAAAAAAAAAAAAAAAAABbQ29udGVudF9UeXBlc10ueG1sUEsBAi0AFAAGAAgAAAAhADj9If/W&#13;&#10;AAAAlAEAAAsAAAAAAAAAAAAAAAAALwEAAF9yZWxzLy5yZWxzUEsBAi0AFAAGAAgAAAAhAAB6rAZ8&#13;&#10;AgAA6AQAAA4AAAAAAAAAAAAAAAAALgIAAGRycy9lMm9Eb2MueG1sUEsBAi0AFAAGAAgAAAAhADJz&#13;&#10;2DPjAAAADgEAAA8AAAAAAAAAAAAAAAAA1gQAAGRycy9kb3ducmV2LnhtbFBLBQYAAAAABAAEAPMA&#13;&#10;AADmBQAAAAA=&#13;&#10;" fillcolor="#f2f2f2" stroked="f" strokeweight="1pt">
                <v:textbox inset="4mm,1mm,7mm">
                  <w:txbxContent>
                    <w:p w14:paraId="403C116C" w14:textId="77777777" w:rsidR="00DA67DD" w:rsidRPr="00A21C2F" w:rsidRDefault="00DA67DD" w:rsidP="00DA67DD">
                      <w:pPr>
                        <w:ind w:left="-142" w:right="-258"/>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The investment strategy </w:t>
                      </w:r>
                      <w:r w:rsidRPr="00A21C2F">
                        <w:rPr>
                          <w:rFonts w:asciiTheme="minorHAnsi" w:hAnsiTheme="minorHAnsi" w:cstheme="minorHAnsi"/>
                          <w:bCs/>
                          <w:color w:val="000000"/>
                          <w:sz w:val="18"/>
                          <w:szCs w:val="21"/>
                        </w:rPr>
                        <w:t>guides investment decisions based on factors such as investment objectives and risk tolerance.</w:t>
                      </w:r>
                    </w:p>
                    <w:p w14:paraId="5B754129" w14:textId="77777777" w:rsidR="00DA67DD" w:rsidRPr="00A21C2F" w:rsidRDefault="00DA67DD" w:rsidP="00DA67DD">
                      <w:pPr>
                        <w:ind w:left="-142"/>
                        <w:rPr>
                          <w:color w:val="000000"/>
                          <w:sz w:val="16"/>
                          <w:szCs w:val="16"/>
                        </w:rPr>
                      </w:pPr>
                    </w:p>
                  </w:txbxContent>
                </v:textbox>
                <w10:wrap type="square" anchorx="page" anchory="page"/>
              </v:rect>
            </w:pict>
          </mc:Fallback>
        </mc:AlternateContent>
      </w:r>
    </w:p>
    <w:p w14:paraId="5FED544E" w14:textId="77777777" w:rsidR="00DA67DD" w:rsidRPr="0083292E" w:rsidRDefault="00DA67DD" w:rsidP="00DA67DD">
      <w:pPr>
        <w:ind w:left="567"/>
        <w:rPr>
          <w:rFonts w:cs="Times New Roman"/>
          <w:sz w:val="20"/>
          <w:szCs w:val="20"/>
        </w:rPr>
      </w:pPr>
      <w:r w:rsidRPr="0083292E">
        <w:rPr>
          <w:rFonts w:cs="Times New Roman"/>
          <w:sz w:val="20"/>
          <w:szCs w:val="20"/>
        </w:rPr>
        <w:t xml:space="preserve">The investment objective and strategy of the Fund are defined in Article 3.2 of the By-Laws. </w:t>
      </w:r>
    </w:p>
    <w:p w14:paraId="2EC82AE0" w14:textId="77777777" w:rsidR="00DA67DD" w:rsidRPr="0083292E" w:rsidRDefault="00DA67DD" w:rsidP="00DA67DD">
      <w:pPr>
        <w:ind w:left="567"/>
        <w:rPr>
          <w:rFonts w:cs="Times New Roman"/>
          <w:sz w:val="20"/>
          <w:szCs w:val="20"/>
        </w:rPr>
      </w:pPr>
    </w:p>
    <w:p w14:paraId="50219FF3" w14:textId="77777777" w:rsidR="00DA67DD" w:rsidRPr="0083292E" w:rsidRDefault="00DA67DD" w:rsidP="00DA67DD">
      <w:pPr>
        <w:numPr>
          <w:ilvl w:val="1"/>
          <w:numId w:val="2"/>
        </w:numPr>
        <w:spacing w:after="80"/>
        <w:ind w:left="567" w:hanging="567"/>
        <w:rPr>
          <w:rFonts w:cs="Times New Roman"/>
          <w:i/>
          <w:sz w:val="20"/>
          <w:szCs w:val="20"/>
        </w:rPr>
      </w:pPr>
      <w:r w:rsidRPr="0083292E">
        <w:rPr>
          <w:rFonts w:cs="Times New Roman"/>
          <w:i/>
          <w:sz w:val="20"/>
          <w:szCs w:val="20"/>
        </w:rPr>
        <w:t>What are the binding elements of the investment strategy used to select the investments to attain each of the environmental or social characteristics promoted by this financial product?</w:t>
      </w:r>
    </w:p>
    <w:p w14:paraId="35021F8B" w14:textId="4E62D5A0" w:rsidR="00DA67DD" w:rsidRDefault="00DA67DD" w:rsidP="00DA67DD">
      <w:pPr>
        <w:ind w:left="567"/>
        <w:rPr>
          <w:rFonts w:cs="Times New Roman"/>
          <w:sz w:val="20"/>
          <w:szCs w:val="20"/>
        </w:rPr>
      </w:pPr>
    </w:p>
    <w:p w14:paraId="2D80F169" w14:textId="2DBC128D" w:rsidR="00DA67DD" w:rsidRPr="0083292E" w:rsidRDefault="00C82A8C" w:rsidP="00DA67DD">
      <w:pPr>
        <w:ind w:left="567"/>
        <w:rPr>
          <w:rFonts w:cs="Times New Roman"/>
          <w:sz w:val="20"/>
          <w:szCs w:val="20"/>
        </w:rPr>
      </w:pPr>
      <w:r w:rsidRPr="00776340">
        <w:rPr>
          <w:rFonts w:ascii="Calibri" w:eastAsia="Calibri" w:hAnsi="Calibri"/>
          <w:noProof/>
        </w:rPr>
        <mc:AlternateContent>
          <mc:Choice Requires="wps">
            <w:drawing>
              <wp:anchor distT="0" distB="0" distL="114300" distR="114300" simplePos="0" relativeHeight="251675648" behindDoc="0" locked="0" layoutInCell="1" allowOverlap="1" wp14:anchorId="0E42D292" wp14:editId="143FED8E">
                <wp:simplePos x="0" y="0"/>
                <wp:positionH relativeFrom="page">
                  <wp:posOffset>31750</wp:posOffset>
                </wp:positionH>
                <wp:positionV relativeFrom="margin">
                  <wp:posOffset>1809750</wp:posOffset>
                </wp:positionV>
                <wp:extent cx="1026160" cy="1483360"/>
                <wp:effectExtent l="0" t="0" r="2540" b="2540"/>
                <wp:wrapSquare wrapText="bothSides"/>
                <wp:docPr id="346" name="Rectangle 346"/>
                <wp:cNvGraphicFramePr/>
                <a:graphic xmlns:a="http://schemas.openxmlformats.org/drawingml/2006/main">
                  <a:graphicData uri="http://schemas.microsoft.com/office/word/2010/wordprocessingShape">
                    <wps:wsp>
                      <wps:cNvSpPr/>
                      <wps:spPr>
                        <a:xfrm>
                          <a:off x="0" y="0"/>
                          <a:ext cx="1026160" cy="1483360"/>
                        </a:xfrm>
                        <a:prstGeom prst="rect">
                          <a:avLst/>
                        </a:prstGeom>
                        <a:solidFill>
                          <a:sysClr val="window" lastClr="FFFFFF">
                            <a:lumMod val="95000"/>
                          </a:sysClr>
                        </a:solidFill>
                        <a:ln w="12700" cap="flat" cmpd="sng" algn="ctr">
                          <a:noFill/>
                          <a:prstDash val="solid"/>
                          <a:miter lim="800000"/>
                        </a:ln>
                        <a:effectLst/>
                      </wps:spPr>
                      <wps:txbx>
                        <w:txbxContent>
                          <w:p w14:paraId="25AA409D" w14:textId="77777777" w:rsidR="00DA67DD" w:rsidRPr="00A21C2F" w:rsidRDefault="00DA67DD" w:rsidP="00DA67DD">
                            <w:pPr>
                              <w:ind w:left="-142" w:right="-272"/>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Good governance </w:t>
                            </w:r>
                            <w:r w:rsidRPr="00A21C2F">
                              <w:rPr>
                                <w:rFonts w:asciiTheme="minorHAnsi" w:hAnsiTheme="minorHAnsi" w:cstheme="minorHAnsi"/>
                                <w:bCs/>
                                <w:color w:val="000000"/>
                                <w:sz w:val="18"/>
                                <w:szCs w:val="21"/>
                              </w:rPr>
                              <w:t>practices include sound management structures, employee relations, remuneration of staff and tax compliance.</w:t>
                            </w:r>
                            <w:r w:rsidRPr="00A21C2F">
                              <w:rPr>
                                <w:rFonts w:asciiTheme="minorHAnsi" w:hAnsiTheme="minorHAnsi" w:cstheme="minorHAnsi"/>
                                <w:b/>
                                <w:bCs/>
                                <w:color w:val="000000"/>
                                <w:sz w:val="18"/>
                                <w:szCs w:val="21"/>
                              </w:rPr>
                              <w:t xml:space="preserve"> </w:t>
                            </w:r>
                          </w:p>
                          <w:p w14:paraId="0F7D7FFC" w14:textId="77777777" w:rsidR="00DA67DD" w:rsidRPr="00A21C2F" w:rsidRDefault="00DA67DD" w:rsidP="00DA67DD">
                            <w:pPr>
                              <w:ind w:left="-142"/>
                              <w:rPr>
                                <w:rFonts w:asciiTheme="minorHAnsi" w:hAnsiTheme="minorHAnsi" w:cstheme="minorHAnsi"/>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D292" id="Rectangle 346" o:spid="_x0000_s1031" style="position:absolute;left:0;text-align:left;margin-left:2.5pt;margin-top:142.5pt;width:80.8pt;height:116.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yt8ewIAAOgEAAAOAAAAZHJzL2Uyb0RvYy54bWysVMtu2zAQvBfoPxC8N5IcO0mNyIGRwEWB&#13;&#10;NAmQFDnTFGUR4Kskbdn9+g4pP9K0p6I+0Lvkcnd2OKvrm61WZCN8kNbUtDorKRGG20aaVU2/vyw+&#13;&#10;XVESIjMNU9aImu5EoDezjx+uezcVI9tZ1QhPkMSEae9q2sXopkUReCc0C2fWCYPD1nrNIly/KhrP&#13;&#10;emTXqhiV5UXRW984b7kIAbt3wyGd5fxtK3h8bNsgIlE1BbaYV5/XZVqL2TWbrjxzneR7GOwfUGgm&#13;&#10;DYoeU92xyMjayz9Sacm9DbaNZ9zqwrat5CL3gG6q8l03zx1zIvcCcoI70hT+X1r+sHl2Tx409C5M&#13;&#10;A8zUxbb1Ov0DH9lmsnZHssQ2Eo7NqhxdVBfglOOsGl+dn8NBnuJ03fkQvwirSTJq6vEamSS2uQ9x&#13;&#10;CD2EpGrBKtkspFLZ2YVb5cmG4eHw3o3tKVEsRGzWdJF/OZda62+2GeI+T8rygCHk+xnOb3mVIT3w&#13;&#10;ji4RSTiD5FrFIkztmpoGs6KEqRW0zKPPBYxNkLJOEtg7FrqhWk47CEjLCBUrqWt6BQhHEMqkVkTW&#13;&#10;4b7lE83JitvllkgUnqREaWdpm92TJ94OUg2OLyTK3qP1J+ahTcDGvMVHLK2y6MXuLUo663/+bT/F&#13;&#10;QzI4paSH1tHnjzXzAox+NRBTNR4nzCRmD++YHJ+d0QRTBm+ZvfHkcgTHrPWtxbtUmG3Hs5kuRHUw&#13;&#10;W2/1KwZznuriiBmO6gOne+c2DlOI0eZiPs9hGAnH4r15djwlT9wlyl+2r8y7vYgi9PdgD5PBpu+0&#13;&#10;NMSmm8bO19G2MgvtxCwUkRyMU9bGfvTTvL71c9TpAzX7BQAA//8DAFBLAwQUAAYACAAAACEAOLxV&#13;&#10;AuEAAAAOAQAADwAAAGRycy9kb3ducmV2LnhtbEyPT0vDQBDF74LfYRnBm92k4Dak2RRrEQvqwWrv&#13;&#10;0+w0Cd0/IbtN4rd3c9LLMMOP9+a9YjMZzQbqfeushHSRACNbOdXaWsL318tDBswHtAq1syThhzxs&#13;&#10;ytubAnPlRvtJwyHULJpYn6OEJoQu59xXDRn0C9eRjezseoMhnn3NVY9jNDeaL5NEcIOtjR8a7Oi5&#13;&#10;oepyuBoJ7f6Squ172K9exw894O7tOG1XUt7fTbt1HE9rYIGm8KeAuUPMD2UMdnJXqzzTEh5jnSBh&#13;&#10;mc3LzIUQwE4RpJkAXhb8f43yFwAA//8DAFBLAQItABQABgAIAAAAIQC2gziS/gAAAOEBAAATAAAA&#13;&#10;AAAAAAAAAAAAAAAAAABbQ29udGVudF9UeXBlc10ueG1sUEsBAi0AFAAGAAgAAAAhADj9If/WAAAA&#13;&#10;lAEAAAsAAAAAAAAAAAAAAAAALwEAAF9yZWxzLy5yZWxzUEsBAi0AFAAGAAgAAAAhALLDK3x7AgAA&#13;&#10;6AQAAA4AAAAAAAAAAAAAAAAALgIAAGRycy9lMm9Eb2MueG1sUEsBAi0AFAAGAAgAAAAhADi8VQLh&#13;&#10;AAAADgEAAA8AAAAAAAAAAAAAAAAA1QQAAGRycy9kb3ducmV2LnhtbFBLBQYAAAAABAAEAPMAAADj&#13;&#10;BQAAAAA=&#13;&#10;" fillcolor="#f2f2f2" stroked="f" strokeweight="1pt">
                <v:textbox inset="4mm,1mm,7mm">
                  <w:txbxContent>
                    <w:p w14:paraId="25AA409D" w14:textId="77777777" w:rsidR="00DA67DD" w:rsidRPr="00A21C2F" w:rsidRDefault="00DA67DD" w:rsidP="00DA67DD">
                      <w:pPr>
                        <w:ind w:left="-142" w:right="-272"/>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Good governance </w:t>
                      </w:r>
                      <w:r w:rsidRPr="00A21C2F">
                        <w:rPr>
                          <w:rFonts w:asciiTheme="minorHAnsi" w:hAnsiTheme="minorHAnsi" w:cstheme="minorHAnsi"/>
                          <w:bCs/>
                          <w:color w:val="000000"/>
                          <w:sz w:val="18"/>
                          <w:szCs w:val="21"/>
                        </w:rPr>
                        <w:t>practices include sound management structures, employee relations, remuneration of staff and tax compliance.</w:t>
                      </w:r>
                      <w:r w:rsidRPr="00A21C2F">
                        <w:rPr>
                          <w:rFonts w:asciiTheme="minorHAnsi" w:hAnsiTheme="minorHAnsi" w:cstheme="minorHAnsi"/>
                          <w:b/>
                          <w:bCs/>
                          <w:color w:val="000000"/>
                          <w:sz w:val="18"/>
                          <w:szCs w:val="21"/>
                        </w:rPr>
                        <w:t xml:space="preserve"> </w:t>
                      </w:r>
                    </w:p>
                    <w:p w14:paraId="0F7D7FFC" w14:textId="77777777" w:rsidR="00DA67DD" w:rsidRPr="00A21C2F" w:rsidRDefault="00DA67DD" w:rsidP="00DA67DD">
                      <w:pPr>
                        <w:ind w:left="-142"/>
                        <w:rPr>
                          <w:rFonts w:asciiTheme="minorHAnsi" w:hAnsiTheme="minorHAnsi" w:cstheme="minorHAnsi"/>
                          <w:color w:val="000000"/>
                          <w:sz w:val="21"/>
                          <w:szCs w:val="21"/>
                        </w:rPr>
                      </w:pPr>
                    </w:p>
                  </w:txbxContent>
                </v:textbox>
                <w10:wrap type="square" anchorx="page" anchory="margin"/>
              </v:rect>
            </w:pict>
          </mc:Fallback>
        </mc:AlternateContent>
      </w:r>
      <w:r w:rsidR="00DA67DD" w:rsidRPr="0083292E">
        <w:rPr>
          <w:rFonts w:cs="Times New Roman"/>
          <w:sz w:val="20"/>
          <w:szCs w:val="20"/>
        </w:rPr>
        <w:t>The Fund by-laws indicates specific sectors that are forbidden. The exclusions are listed below:</w:t>
      </w:r>
    </w:p>
    <w:p w14:paraId="46BA21C9" w14:textId="1F4AFD7B" w:rsidR="00DA67DD" w:rsidRPr="0083292E" w:rsidRDefault="00DA67DD" w:rsidP="00DA67DD">
      <w:pPr>
        <w:ind w:left="426"/>
        <w:rPr>
          <w:rFonts w:cs="Times New Roman"/>
          <w:i/>
          <w:iCs/>
          <w:sz w:val="20"/>
          <w:szCs w:val="20"/>
        </w:rPr>
      </w:pPr>
    </w:p>
    <w:p w14:paraId="6DAEF149" w14:textId="323B731E" w:rsidR="00DA67DD" w:rsidRPr="0083292E" w:rsidRDefault="00DA67DD" w:rsidP="00DA67DD">
      <w:pPr>
        <w:ind w:left="567"/>
        <w:rPr>
          <w:rFonts w:cs="Times New Roman"/>
          <w:b/>
          <w:bCs/>
          <w:sz w:val="20"/>
          <w:szCs w:val="20"/>
          <w:lang w:val="en-US"/>
        </w:rPr>
      </w:pPr>
      <w:r w:rsidRPr="0083292E">
        <w:rPr>
          <w:rFonts w:cs="Times New Roman"/>
          <w:b/>
          <w:bCs/>
          <w:sz w:val="20"/>
          <w:szCs w:val="20"/>
          <w:lang w:val="en-US"/>
        </w:rPr>
        <w:t>A. Tobacco and alcohol</w:t>
      </w:r>
    </w:p>
    <w:p w14:paraId="6B6B727B"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 xml:space="preserve">Elaia Partners considers investment in tobacco and distilled alcoholic beverages companies to be unsustainable. We exclude companies that are significantly involved in the production of and trade in tobacco or distilled alcoholic beverages and related products. We also exclude those which have significant ownership in such companies, as well as those which are significantly involved in the wholesale distribution of those products or in the supply of components, such as filters. </w:t>
      </w:r>
    </w:p>
    <w:p w14:paraId="1413C75B" w14:textId="77777777" w:rsidR="00DA67DD" w:rsidRPr="0083292E" w:rsidRDefault="00DA67DD" w:rsidP="00DA67DD">
      <w:pPr>
        <w:ind w:left="567"/>
        <w:rPr>
          <w:rFonts w:cs="Times New Roman"/>
          <w:sz w:val="20"/>
          <w:szCs w:val="20"/>
          <w:lang w:val="en-US"/>
        </w:rPr>
      </w:pPr>
    </w:p>
    <w:p w14:paraId="55D3AC79" w14:textId="77777777" w:rsidR="00DA67DD" w:rsidRPr="0083292E" w:rsidRDefault="00DA67DD" w:rsidP="00DA67DD">
      <w:pPr>
        <w:ind w:left="567"/>
        <w:rPr>
          <w:rFonts w:cs="Times New Roman"/>
          <w:b/>
          <w:bCs/>
          <w:sz w:val="20"/>
          <w:szCs w:val="20"/>
          <w:lang w:val="en-US"/>
        </w:rPr>
      </w:pPr>
      <w:r w:rsidRPr="0083292E">
        <w:rPr>
          <w:rFonts w:cs="Times New Roman"/>
          <w:b/>
          <w:bCs/>
          <w:sz w:val="20"/>
          <w:szCs w:val="20"/>
          <w:lang w:val="en-US"/>
        </w:rPr>
        <w:t>B. Adult entertainment and pornography</w:t>
      </w:r>
    </w:p>
    <w:p w14:paraId="348C8390"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Elaia Partners considers investment in adult entertainment and pornography companies to be unaligned with Elaia Partners ’s values, unsustainable and not to contribute positively to the long-term sustainable development of society. We believe that there is a significant risk that the adult entertainment industry may indirectly fail to comply with human rights principles from labor practices to societal impact.</w:t>
      </w:r>
    </w:p>
    <w:p w14:paraId="0D9FEA7B"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We exclude companies who receive over 2% of their revenues from the production or distribution of adult entertainment and pornography, those which have a significant ownership in such companies or those which are significantly involved in the wholesale distribution of adult entertainment and pornographic content.</w:t>
      </w:r>
    </w:p>
    <w:p w14:paraId="4AF328E1" w14:textId="77777777" w:rsidR="00DA67DD" w:rsidRPr="0083292E" w:rsidRDefault="00DA67DD" w:rsidP="00DA67DD">
      <w:pPr>
        <w:ind w:left="567"/>
        <w:rPr>
          <w:rFonts w:cs="Times New Roman"/>
          <w:sz w:val="20"/>
          <w:szCs w:val="20"/>
          <w:lang w:val="en-US"/>
        </w:rPr>
      </w:pPr>
    </w:p>
    <w:p w14:paraId="6D74226B" w14:textId="77777777" w:rsidR="00DA67DD" w:rsidRPr="0083292E" w:rsidRDefault="00DA67DD" w:rsidP="00DA67DD">
      <w:pPr>
        <w:ind w:left="567"/>
        <w:rPr>
          <w:rFonts w:cs="Times New Roman"/>
          <w:b/>
          <w:bCs/>
          <w:sz w:val="20"/>
          <w:szCs w:val="20"/>
          <w:lang w:val="en-US"/>
        </w:rPr>
      </w:pPr>
      <w:r w:rsidRPr="0083292E">
        <w:rPr>
          <w:rFonts w:cs="Times New Roman"/>
          <w:b/>
          <w:bCs/>
          <w:sz w:val="20"/>
          <w:szCs w:val="20"/>
          <w:lang w:val="en-US"/>
        </w:rPr>
        <w:t xml:space="preserve">C. Weapons, casinos and equivalent companies </w:t>
      </w:r>
    </w:p>
    <w:p w14:paraId="1B59452E"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The Fund excludes companies that focus on the financing, the production of and trade in weapons and ammunition of any kind, it being understood that this restriction does not apply to the extent such activities are part of or accessory to explicit European Union policies. Elaia excludes companies that focus on the casinos and equivalent enterprises.</w:t>
      </w:r>
    </w:p>
    <w:p w14:paraId="4ABFB52D" w14:textId="77777777" w:rsidR="00DA67DD" w:rsidRPr="0083292E" w:rsidRDefault="00DA67DD" w:rsidP="00DA67DD">
      <w:pPr>
        <w:rPr>
          <w:rFonts w:cs="Times New Roman"/>
          <w:sz w:val="20"/>
          <w:szCs w:val="20"/>
          <w:lang w:val="en-US"/>
        </w:rPr>
      </w:pPr>
    </w:p>
    <w:p w14:paraId="3796536B" w14:textId="77777777" w:rsidR="00DA67DD" w:rsidRPr="0083292E" w:rsidRDefault="00DA67DD" w:rsidP="00DA67DD">
      <w:pPr>
        <w:ind w:left="567"/>
        <w:rPr>
          <w:rFonts w:cs="Times New Roman"/>
          <w:b/>
          <w:bCs/>
          <w:sz w:val="20"/>
          <w:szCs w:val="20"/>
          <w:lang w:val="en-US"/>
        </w:rPr>
      </w:pPr>
      <w:r w:rsidRPr="0083292E">
        <w:rPr>
          <w:rFonts w:cs="Times New Roman"/>
          <w:b/>
          <w:bCs/>
          <w:sz w:val="20"/>
          <w:szCs w:val="20"/>
          <w:lang w:val="en-US"/>
        </w:rPr>
        <w:t xml:space="preserve">D. Excluded sectors indirect support </w:t>
      </w:r>
    </w:p>
    <w:p w14:paraId="1D0B0212"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The Fund excludes companies that perform any of the following research activities as referred to in Article 19 of the Regulation EU (no) 1291/2013 of the European Parliament and the Council:</w:t>
      </w:r>
    </w:p>
    <w:p w14:paraId="4A5B29FB" w14:textId="77777777" w:rsidR="00DA67DD" w:rsidRPr="0083292E" w:rsidRDefault="00DA67DD" w:rsidP="00DA67DD">
      <w:pPr>
        <w:numPr>
          <w:ilvl w:val="0"/>
          <w:numId w:val="18"/>
        </w:numPr>
        <w:ind w:left="993" w:hanging="284"/>
        <w:rPr>
          <w:rFonts w:cs="Times New Roman"/>
          <w:sz w:val="20"/>
          <w:szCs w:val="20"/>
          <w:lang w:val="en-US"/>
        </w:rPr>
      </w:pPr>
      <w:r w:rsidRPr="0083292E">
        <w:rPr>
          <w:rFonts w:cs="Times New Roman"/>
          <w:sz w:val="20"/>
          <w:szCs w:val="20"/>
          <w:lang w:val="en-US"/>
        </w:rPr>
        <w:t>Aiming at human cloning for reproductive purposes;</w:t>
      </w:r>
    </w:p>
    <w:p w14:paraId="266659ED" w14:textId="77777777" w:rsidR="00DA67DD" w:rsidRPr="0083292E" w:rsidRDefault="00DA67DD" w:rsidP="00DA67DD">
      <w:pPr>
        <w:numPr>
          <w:ilvl w:val="0"/>
          <w:numId w:val="18"/>
        </w:numPr>
        <w:ind w:left="993" w:hanging="284"/>
        <w:rPr>
          <w:rFonts w:cs="Times New Roman"/>
          <w:sz w:val="20"/>
          <w:szCs w:val="20"/>
          <w:lang w:val="en-US"/>
        </w:rPr>
      </w:pPr>
      <w:r w:rsidRPr="0083292E">
        <w:rPr>
          <w:rFonts w:cs="Times New Roman"/>
          <w:sz w:val="20"/>
          <w:szCs w:val="20"/>
          <w:lang w:val="en-US"/>
        </w:rPr>
        <w:t>Intended to modify the genetic heritage of human beings which could make such changes heritable (excluding research relating to cancer treatment of the gonads);</w:t>
      </w:r>
    </w:p>
    <w:p w14:paraId="3F94A779" w14:textId="77777777" w:rsidR="00DA67DD" w:rsidRPr="0083292E" w:rsidRDefault="00DA67DD" w:rsidP="00DA67DD">
      <w:pPr>
        <w:numPr>
          <w:ilvl w:val="0"/>
          <w:numId w:val="18"/>
        </w:numPr>
        <w:ind w:left="993" w:hanging="284"/>
        <w:rPr>
          <w:rFonts w:cs="Times New Roman"/>
          <w:sz w:val="20"/>
          <w:szCs w:val="20"/>
          <w:lang w:val="en-US"/>
        </w:rPr>
      </w:pPr>
      <w:r w:rsidRPr="0083292E">
        <w:rPr>
          <w:rFonts w:cs="Times New Roman"/>
          <w:sz w:val="20"/>
          <w:szCs w:val="20"/>
          <w:lang w:val="en-US"/>
        </w:rPr>
        <w:t>Intended to create human embryos solely for the purpose of research or the purpose of stem cell procurement, including by means of somatic cell nuclear transfer.</w:t>
      </w:r>
    </w:p>
    <w:p w14:paraId="44E9A6A5" w14:textId="77777777" w:rsidR="00DA67DD" w:rsidRPr="0083292E" w:rsidRDefault="00DA67DD" w:rsidP="00DA67DD">
      <w:pPr>
        <w:ind w:left="993" w:hanging="284"/>
        <w:rPr>
          <w:rFonts w:cs="Times New Roman"/>
          <w:sz w:val="20"/>
          <w:szCs w:val="20"/>
          <w:lang w:val="en-US"/>
        </w:rPr>
      </w:pPr>
      <w:r w:rsidRPr="0083292E">
        <w:rPr>
          <w:rFonts w:cs="Times New Roman"/>
          <w:sz w:val="20"/>
          <w:szCs w:val="20"/>
          <w:lang w:val="en-US"/>
        </w:rPr>
        <w:t>Moreover, the Fund excludes companies that focus on the research, development or technical applications relating to electronic data programs or solutions, which:</w:t>
      </w:r>
    </w:p>
    <w:p w14:paraId="52AAF20A" w14:textId="77777777" w:rsidR="00DA67DD" w:rsidRPr="0083292E" w:rsidRDefault="00DA67DD" w:rsidP="00DA67DD">
      <w:pPr>
        <w:numPr>
          <w:ilvl w:val="0"/>
          <w:numId w:val="18"/>
        </w:numPr>
        <w:ind w:left="993" w:hanging="284"/>
        <w:rPr>
          <w:rFonts w:cs="Times New Roman"/>
          <w:sz w:val="20"/>
          <w:szCs w:val="20"/>
          <w:lang w:val="en-US"/>
        </w:rPr>
      </w:pPr>
      <w:r w:rsidRPr="0083292E">
        <w:rPr>
          <w:rFonts w:cs="Times New Roman"/>
          <w:sz w:val="20"/>
          <w:szCs w:val="20"/>
          <w:lang w:val="en-US"/>
        </w:rPr>
        <w:t>aim specifically at supporting any activity referred to under items A to E above;</w:t>
      </w:r>
    </w:p>
    <w:p w14:paraId="03144B45" w14:textId="77777777" w:rsidR="00DA67DD" w:rsidRPr="0083292E" w:rsidRDefault="00DA67DD" w:rsidP="00DA67DD">
      <w:pPr>
        <w:numPr>
          <w:ilvl w:val="0"/>
          <w:numId w:val="18"/>
        </w:numPr>
        <w:ind w:left="993" w:hanging="284"/>
        <w:rPr>
          <w:rFonts w:cs="Times New Roman"/>
          <w:sz w:val="20"/>
          <w:szCs w:val="20"/>
          <w:lang w:val="en-US"/>
        </w:rPr>
      </w:pPr>
      <w:r w:rsidRPr="0083292E">
        <w:rPr>
          <w:rFonts w:cs="Times New Roman"/>
          <w:sz w:val="20"/>
          <w:szCs w:val="20"/>
          <w:lang w:val="en-US"/>
        </w:rPr>
        <w:t>are intended to enable to:</w:t>
      </w:r>
    </w:p>
    <w:p w14:paraId="3C983D2E" w14:textId="77777777" w:rsidR="00DA67DD" w:rsidRPr="0083292E" w:rsidRDefault="00DA67DD" w:rsidP="00DA67DD">
      <w:pPr>
        <w:numPr>
          <w:ilvl w:val="1"/>
          <w:numId w:val="18"/>
        </w:numPr>
        <w:ind w:left="1276" w:hanging="142"/>
        <w:rPr>
          <w:rFonts w:cs="Times New Roman"/>
          <w:sz w:val="20"/>
          <w:szCs w:val="20"/>
          <w:lang w:val="en-US"/>
        </w:rPr>
      </w:pPr>
      <w:r w:rsidRPr="0083292E">
        <w:rPr>
          <w:rFonts w:cs="Times New Roman"/>
          <w:sz w:val="20"/>
          <w:szCs w:val="20"/>
          <w:lang w:val="en-US"/>
        </w:rPr>
        <w:t>illegally enter into electronic data networks; or</w:t>
      </w:r>
    </w:p>
    <w:p w14:paraId="376FE083" w14:textId="77777777" w:rsidR="00DA67DD" w:rsidRPr="0083292E" w:rsidRDefault="00DA67DD" w:rsidP="00DA67DD">
      <w:pPr>
        <w:numPr>
          <w:ilvl w:val="1"/>
          <w:numId w:val="18"/>
        </w:numPr>
        <w:ind w:left="1276" w:hanging="142"/>
        <w:rPr>
          <w:rFonts w:cs="Times New Roman"/>
          <w:sz w:val="20"/>
          <w:szCs w:val="20"/>
          <w:lang w:val="en-US"/>
        </w:rPr>
      </w:pPr>
      <w:r w:rsidRPr="0083292E">
        <w:rPr>
          <w:rFonts w:cs="Times New Roman"/>
          <w:sz w:val="20"/>
          <w:szCs w:val="20"/>
          <w:lang w:val="en-US"/>
        </w:rPr>
        <w:t xml:space="preserve">illegally download electronic data. </w:t>
      </w:r>
    </w:p>
    <w:p w14:paraId="5A04C10E"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In addition, when providing support to the financing of the research, development or technical applications relating to human cloning for research or therapeutic purposes, or genetically modified organisms (GMOs), we shall ensure the appropriate control of legal, regulatory and ethical issues linked to such human cloning for research or therapeutic purposes and/or GMOs.</w:t>
      </w:r>
    </w:p>
    <w:p w14:paraId="036F0A29" w14:textId="77777777" w:rsidR="00DA67DD" w:rsidRPr="0083292E" w:rsidRDefault="00DA67DD" w:rsidP="00DA67DD">
      <w:pPr>
        <w:ind w:left="567"/>
        <w:rPr>
          <w:rFonts w:cs="Times New Roman"/>
          <w:sz w:val="20"/>
          <w:szCs w:val="20"/>
          <w:lang w:val="en-US"/>
        </w:rPr>
      </w:pPr>
    </w:p>
    <w:p w14:paraId="55E572BA" w14:textId="77777777" w:rsidR="00DA67DD" w:rsidRPr="0083292E" w:rsidRDefault="00DA67DD" w:rsidP="00DA67DD">
      <w:pPr>
        <w:ind w:left="567"/>
        <w:rPr>
          <w:rFonts w:cs="Times New Roman"/>
          <w:b/>
          <w:bCs/>
          <w:sz w:val="20"/>
          <w:szCs w:val="20"/>
          <w:lang w:val="en-US"/>
        </w:rPr>
      </w:pPr>
      <w:bookmarkStart w:id="5" w:name="_Toc117763977"/>
      <w:r w:rsidRPr="0083292E">
        <w:rPr>
          <w:rFonts w:cs="Times New Roman"/>
          <w:b/>
          <w:bCs/>
          <w:sz w:val="20"/>
          <w:szCs w:val="20"/>
          <w:lang w:val="en-US"/>
        </w:rPr>
        <w:t>E. Geographical exclusions</w:t>
      </w:r>
      <w:bookmarkEnd w:id="5"/>
    </w:p>
    <w:p w14:paraId="5E6F2D60"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lastRenderedPageBreak/>
        <w:t>The Fund excludes investments in companies that are established in and maintain significant business relationship with entities incorporated in non-cooperative jurisdictions, as classified by lead organizations for not having made sufficient progress towards satisfactory implementation of EU and/or internationally agreed standards in connection with AML-CFT and/or tax good governance standards.</w:t>
      </w:r>
    </w:p>
    <w:p w14:paraId="6A2C939D" w14:textId="77777777" w:rsidR="00DA67DD" w:rsidRDefault="00DA67DD" w:rsidP="00DA67DD">
      <w:pPr>
        <w:ind w:left="567"/>
        <w:rPr>
          <w:rFonts w:cs="Times New Roman"/>
          <w:sz w:val="20"/>
          <w:szCs w:val="20"/>
        </w:rPr>
      </w:pPr>
      <w:r w:rsidRPr="0083292E">
        <w:rPr>
          <w:rFonts w:cs="Times New Roman"/>
          <w:sz w:val="20"/>
          <w:szCs w:val="20"/>
          <w:lang w:val="en-US"/>
        </w:rPr>
        <w:t>In addition to this list of forbidden sectors</w:t>
      </w:r>
      <w:r w:rsidRPr="0083292E">
        <w:rPr>
          <w:rFonts w:cs="Times New Roman"/>
          <w:i/>
          <w:iCs/>
          <w:sz w:val="20"/>
          <w:szCs w:val="20"/>
          <w:lang w:val="en-US"/>
        </w:rPr>
        <w:t xml:space="preserve">, </w:t>
      </w:r>
      <w:r w:rsidRPr="0083292E">
        <w:rPr>
          <w:rFonts w:cs="Times New Roman"/>
          <w:sz w:val="20"/>
          <w:szCs w:val="20"/>
        </w:rPr>
        <w:t>Elaia Partners has put in place an additional layer of exclusion policy follows with no exceptions, based on the following exclusions.</w:t>
      </w:r>
    </w:p>
    <w:p w14:paraId="5B7F5A7F" w14:textId="77777777" w:rsidR="00DA67DD" w:rsidRPr="0083292E" w:rsidRDefault="00DA67DD" w:rsidP="00C82A8C">
      <w:pPr>
        <w:rPr>
          <w:rFonts w:cs="Times New Roman"/>
          <w:sz w:val="20"/>
          <w:szCs w:val="20"/>
        </w:rPr>
      </w:pPr>
    </w:p>
    <w:p w14:paraId="3FBF9BC5" w14:textId="77777777" w:rsidR="00DA67DD" w:rsidRPr="0083292E" w:rsidRDefault="00DA67DD" w:rsidP="00DA67DD">
      <w:pPr>
        <w:ind w:left="426"/>
        <w:rPr>
          <w:rFonts w:cs="Times New Roman"/>
          <w:sz w:val="20"/>
          <w:szCs w:val="20"/>
        </w:rPr>
      </w:pPr>
    </w:p>
    <w:p w14:paraId="34C7A20B" w14:textId="77777777" w:rsidR="00DA67DD" w:rsidRPr="0083292E" w:rsidRDefault="00DA67DD" w:rsidP="00DA67DD">
      <w:pPr>
        <w:ind w:left="567"/>
        <w:rPr>
          <w:rFonts w:cs="Times New Roman"/>
          <w:b/>
          <w:bCs/>
          <w:sz w:val="20"/>
          <w:szCs w:val="20"/>
          <w:lang w:val="en-US"/>
        </w:rPr>
      </w:pPr>
      <w:r w:rsidRPr="0083292E">
        <w:rPr>
          <w:rFonts w:cs="Times New Roman"/>
          <w:b/>
          <w:bCs/>
          <w:sz w:val="20"/>
          <w:szCs w:val="20"/>
        </w:rPr>
        <w:t>F</w:t>
      </w:r>
      <w:r w:rsidRPr="0083292E">
        <w:rPr>
          <w:rFonts w:cs="Times New Roman"/>
          <w:b/>
          <w:bCs/>
          <w:sz w:val="20"/>
          <w:szCs w:val="20"/>
          <w:lang w:val="en-US"/>
        </w:rPr>
        <w:t xml:space="preserve">. Thermal coal miners </w:t>
      </w:r>
    </w:p>
    <w:p w14:paraId="69A052CA"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Elaia Partners acknowledges that reducing thermal coal emissions, as recommended by scientists, is one of the most effective ways of transitioning to a cleaner energy system and being consistent with the Paris Agreement. Elaia pledges that no investment shall be made by Elaia’s funds in coal mining-related companies, except if the relation to coal mining is that of coal-usage reduction.</w:t>
      </w:r>
    </w:p>
    <w:p w14:paraId="46950492" w14:textId="77777777" w:rsidR="00DA67DD" w:rsidRPr="0083292E" w:rsidRDefault="00DA67DD" w:rsidP="00DA67DD">
      <w:pPr>
        <w:ind w:left="567"/>
        <w:rPr>
          <w:rFonts w:cs="Times New Roman"/>
          <w:sz w:val="20"/>
          <w:szCs w:val="20"/>
          <w:lang w:val="en-US"/>
        </w:rPr>
      </w:pPr>
    </w:p>
    <w:p w14:paraId="5DDD322C" w14:textId="77777777" w:rsidR="00DA67DD" w:rsidRPr="0083292E" w:rsidRDefault="00DA67DD" w:rsidP="00DA67DD">
      <w:pPr>
        <w:ind w:left="567"/>
        <w:rPr>
          <w:rFonts w:cs="Times New Roman"/>
          <w:b/>
          <w:bCs/>
          <w:sz w:val="20"/>
          <w:szCs w:val="20"/>
          <w:lang w:val="en-US"/>
        </w:rPr>
      </w:pPr>
      <w:r w:rsidRPr="0083292E">
        <w:rPr>
          <w:rFonts w:cs="Times New Roman"/>
          <w:b/>
          <w:bCs/>
          <w:sz w:val="20"/>
          <w:szCs w:val="20"/>
          <w:lang w:val="en-US"/>
        </w:rPr>
        <w:t>G. Coal based power generation</w:t>
      </w:r>
    </w:p>
    <w:p w14:paraId="09DAB9B9" w14:textId="77777777" w:rsidR="00DA67DD" w:rsidRPr="0083292E" w:rsidRDefault="00DA67DD" w:rsidP="00DA67DD">
      <w:pPr>
        <w:ind w:left="567"/>
        <w:rPr>
          <w:rFonts w:cs="Times New Roman"/>
          <w:sz w:val="20"/>
          <w:szCs w:val="20"/>
          <w:lang w:val="en-US"/>
        </w:rPr>
      </w:pPr>
      <w:r w:rsidRPr="0083292E">
        <w:rPr>
          <w:rFonts w:cs="Times New Roman"/>
          <w:sz w:val="20"/>
          <w:szCs w:val="20"/>
          <w:lang w:val="en-US"/>
        </w:rPr>
        <w:t>Elaia Partners recognises the importance of encouraging companies to reduce their dependence on coal power generation in order to align their activities with the Paris Agreement. Hence, Elaia will not invest in coal-based power generation companies.</w:t>
      </w:r>
    </w:p>
    <w:p w14:paraId="2713ABBA" w14:textId="77777777" w:rsidR="00DA67DD" w:rsidRPr="0083292E" w:rsidRDefault="00DA67DD" w:rsidP="00DA67DD">
      <w:pPr>
        <w:ind w:left="567"/>
        <w:rPr>
          <w:rFonts w:cs="Times New Roman"/>
          <w:i/>
          <w:sz w:val="20"/>
          <w:szCs w:val="20"/>
          <w:u w:val="single"/>
        </w:rPr>
      </w:pPr>
    </w:p>
    <w:p w14:paraId="38AFB6EB" w14:textId="77777777" w:rsidR="00DA67DD" w:rsidRPr="0083292E" w:rsidRDefault="00DA67DD" w:rsidP="00DA67DD">
      <w:pPr>
        <w:numPr>
          <w:ilvl w:val="1"/>
          <w:numId w:val="2"/>
        </w:numPr>
        <w:spacing w:after="80"/>
        <w:ind w:left="567" w:hanging="141"/>
        <w:rPr>
          <w:rFonts w:cs="Times New Roman"/>
          <w:i/>
          <w:sz w:val="20"/>
          <w:szCs w:val="20"/>
        </w:rPr>
      </w:pPr>
      <w:r w:rsidRPr="0083292E">
        <w:rPr>
          <w:rFonts w:cs="Times New Roman"/>
          <w:i/>
          <w:sz w:val="20"/>
          <w:szCs w:val="20"/>
        </w:rPr>
        <w:t>What is the committed minimum rate to reduce the scope of the investments considered prior to the application of that investment strategy?</w:t>
      </w:r>
    </w:p>
    <w:p w14:paraId="48091FA0" w14:textId="77777777" w:rsidR="00DA67DD" w:rsidRPr="0083292E" w:rsidRDefault="00000000" w:rsidP="00DA67DD">
      <w:pPr>
        <w:ind w:left="567"/>
        <w:rPr>
          <w:rFonts w:cs="Times New Roman"/>
          <w:sz w:val="20"/>
          <w:szCs w:val="20"/>
        </w:rPr>
      </w:pPr>
      <w:sdt>
        <w:sdtPr>
          <w:rPr>
            <w:rFonts w:cs="Times New Roman"/>
            <w:sz w:val="20"/>
            <w:szCs w:val="20"/>
          </w:rPr>
          <w:tag w:val="goog_rdk_11"/>
          <w:id w:val="1609539401"/>
        </w:sdtPr>
        <w:sdtContent/>
      </w:sdt>
    </w:p>
    <w:p w14:paraId="210F1731" w14:textId="77777777" w:rsidR="00DA67DD" w:rsidRPr="0083292E" w:rsidRDefault="00DA67DD" w:rsidP="00DA67DD">
      <w:pPr>
        <w:ind w:left="567"/>
        <w:rPr>
          <w:rFonts w:cs="Times New Roman"/>
          <w:sz w:val="20"/>
          <w:szCs w:val="20"/>
        </w:rPr>
      </w:pPr>
      <w:r w:rsidRPr="0083292E">
        <w:rPr>
          <w:rFonts w:cs="Times New Roman"/>
          <w:sz w:val="20"/>
          <w:szCs w:val="20"/>
        </w:rPr>
        <w:t>This exclusion policy is applied to all companies considered for investment.</w:t>
      </w:r>
    </w:p>
    <w:p w14:paraId="5AF97303" w14:textId="77777777" w:rsidR="00DA67DD" w:rsidRPr="0083292E" w:rsidRDefault="00DA67DD" w:rsidP="00DA67DD">
      <w:pPr>
        <w:ind w:left="567"/>
        <w:rPr>
          <w:rFonts w:cs="Times New Roman"/>
          <w:sz w:val="20"/>
          <w:szCs w:val="20"/>
        </w:rPr>
      </w:pPr>
    </w:p>
    <w:p w14:paraId="2EBE2D7B" w14:textId="77777777" w:rsidR="00DA67DD" w:rsidRPr="0083292E" w:rsidRDefault="00DA67DD" w:rsidP="00DA67DD">
      <w:pPr>
        <w:numPr>
          <w:ilvl w:val="1"/>
          <w:numId w:val="2"/>
        </w:numPr>
        <w:ind w:left="567" w:hanging="114"/>
        <w:rPr>
          <w:rFonts w:cs="Times New Roman"/>
          <w:i/>
          <w:sz w:val="20"/>
          <w:szCs w:val="20"/>
        </w:rPr>
      </w:pPr>
      <w:r w:rsidRPr="0083292E">
        <w:rPr>
          <w:rFonts w:cs="Times New Roman"/>
          <w:i/>
          <w:sz w:val="20"/>
          <w:szCs w:val="20"/>
        </w:rPr>
        <w:t>What is the policy to assess good governance practices of the investee companies?</w:t>
      </w:r>
    </w:p>
    <w:p w14:paraId="50E39708" w14:textId="77777777" w:rsidR="00DA67DD" w:rsidRPr="0083292E" w:rsidRDefault="00DA67DD" w:rsidP="00DA67DD">
      <w:pPr>
        <w:ind w:left="567"/>
        <w:rPr>
          <w:rFonts w:cs="Times New Roman"/>
          <w:sz w:val="20"/>
          <w:szCs w:val="20"/>
        </w:rPr>
      </w:pPr>
      <w:r w:rsidRPr="0083292E">
        <w:rPr>
          <w:rFonts w:cs="Times New Roman"/>
          <w:sz w:val="20"/>
          <w:szCs w:val="20"/>
        </w:rPr>
        <w:t xml:space="preserve"> </w:t>
      </w:r>
    </w:p>
    <w:p w14:paraId="4625F575" w14:textId="77777777" w:rsidR="00DA67DD" w:rsidRPr="0083292E" w:rsidRDefault="00DA67DD" w:rsidP="00DA67DD">
      <w:pPr>
        <w:ind w:left="567"/>
        <w:rPr>
          <w:rFonts w:eastAsia="Source Sans Pro" w:cs="Times New Roman"/>
          <w:sz w:val="20"/>
          <w:szCs w:val="20"/>
        </w:rPr>
      </w:pPr>
      <w:r w:rsidRPr="0083292E">
        <w:rPr>
          <w:rFonts w:eastAsia="Source Sans Pro" w:cs="Times New Roman"/>
          <w:sz w:val="20"/>
          <w:szCs w:val="20"/>
        </w:rPr>
        <w:t>The ESG committee has been settled as well to develop and implement the best practices in terms of governance strategy.</w:t>
      </w:r>
    </w:p>
    <w:p w14:paraId="39466465" w14:textId="77777777" w:rsidR="00DA67DD" w:rsidRPr="0083292E" w:rsidRDefault="00DA67DD" w:rsidP="00DA67DD">
      <w:pPr>
        <w:ind w:left="567"/>
        <w:rPr>
          <w:rFonts w:eastAsia="Source Sans Pro" w:cs="Times New Roman"/>
          <w:sz w:val="20"/>
          <w:szCs w:val="20"/>
        </w:rPr>
      </w:pPr>
    </w:p>
    <w:p w14:paraId="5C8636D4" w14:textId="77777777" w:rsidR="00DA67DD" w:rsidRPr="0083292E" w:rsidRDefault="00DA67DD" w:rsidP="00DA67DD">
      <w:pPr>
        <w:ind w:left="567"/>
        <w:rPr>
          <w:rFonts w:eastAsia="Source Sans Pro" w:cs="Times New Roman"/>
          <w:sz w:val="20"/>
          <w:szCs w:val="20"/>
          <w:lang w:val="en-US"/>
        </w:rPr>
      </w:pPr>
      <w:r w:rsidRPr="0083292E">
        <w:rPr>
          <w:rFonts w:eastAsia="Source Sans Pro" w:cs="Times New Roman"/>
          <w:sz w:val="20"/>
          <w:szCs w:val="20"/>
          <w:lang w:val="en-US"/>
        </w:rPr>
        <w:t>This last pillar of ESG refers to a set of rules and principles that define rights, responsibilities and expectations among different stakeholders in the governance of a company. It can serve as a control mechanism in relation to bribery and corruption, executive remuneration, shareholders’ voting possibilities and internal control.</w:t>
      </w:r>
    </w:p>
    <w:p w14:paraId="23F24F70" w14:textId="77777777" w:rsidR="00DA67DD" w:rsidRPr="0083292E" w:rsidRDefault="00DA67DD" w:rsidP="00DA67DD">
      <w:pPr>
        <w:ind w:left="567"/>
        <w:rPr>
          <w:rFonts w:eastAsia="Source Sans Pro" w:cs="Times New Roman"/>
          <w:sz w:val="20"/>
          <w:szCs w:val="20"/>
          <w:lang w:val="en-US"/>
        </w:rPr>
      </w:pPr>
    </w:p>
    <w:p w14:paraId="21DE4F29" w14:textId="77777777" w:rsidR="00DA67DD" w:rsidRPr="0083292E" w:rsidRDefault="00DA67DD" w:rsidP="00DA67DD">
      <w:pPr>
        <w:ind w:left="567"/>
        <w:rPr>
          <w:rFonts w:eastAsia="Source Sans Pro" w:cs="Times New Roman"/>
          <w:sz w:val="20"/>
          <w:szCs w:val="20"/>
          <w:lang w:val="en-US"/>
        </w:rPr>
      </w:pPr>
      <w:r w:rsidRPr="0083292E">
        <w:rPr>
          <w:rFonts w:eastAsia="Source Sans Pro" w:cs="Times New Roman"/>
          <w:sz w:val="20"/>
          <w:szCs w:val="20"/>
          <w:lang w:val="en-US"/>
        </w:rPr>
        <w:t>We believe that fair governance provides long-term benefits for shareholders, employees and the society as a whole. One way of ensuring this is to focus on increasing transparency and openness in contacts between the company and shareholders on issues such as board composition and shareholder rights.</w:t>
      </w:r>
    </w:p>
    <w:p w14:paraId="688F98B5" w14:textId="77777777" w:rsidR="00DA67DD" w:rsidRPr="0083292E" w:rsidRDefault="00DA67DD" w:rsidP="00DA67DD">
      <w:pPr>
        <w:ind w:left="567"/>
        <w:rPr>
          <w:rFonts w:eastAsia="Source Sans Pro" w:cs="Times New Roman"/>
          <w:sz w:val="20"/>
          <w:szCs w:val="20"/>
        </w:rPr>
      </w:pPr>
      <w:r w:rsidRPr="0083292E">
        <w:rPr>
          <w:rFonts w:eastAsia="Source Sans Pro" w:cs="Times New Roman"/>
          <w:sz w:val="20"/>
          <w:szCs w:val="20"/>
        </w:rPr>
        <w:t>During the investment process, Elaia DTS3 Fund’s investment team analyses governance criteria and delivers specific due diligences:</w:t>
      </w:r>
    </w:p>
    <w:p w14:paraId="67E23629" w14:textId="77777777" w:rsidR="00DA67DD" w:rsidRPr="0083292E" w:rsidRDefault="00DA67DD" w:rsidP="00DA67DD">
      <w:pPr>
        <w:pStyle w:val="Paragraphedeliste"/>
        <w:numPr>
          <w:ilvl w:val="0"/>
          <w:numId w:val="16"/>
        </w:numPr>
        <w:spacing w:after="160" w:line="259" w:lineRule="auto"/>
        <w:contextualSpacing/>
        <w:rPr>
          <w:rFonts w:eastAsia="Source Sans Pro" w:cs="Times New Roman"/>
          <w:sz w:val="20"/>
          <w:szCs w:val="20"/>
        </w:rPr>
      </w:pPr>
      <w:r w:rsidRPr="0083292E">
        <w:rPr>
          <w:rFonts w:eastAsia="Source Sans Pro" w:cs="Times New Roman"/>
          <w:sz w:val="20"/>
          <w:szCs w:val="20"/>
        </w:rPr>
        <w:t xml:space="preserve">External pre-investment </w:t>
      </w:r>
      <w:r w:rsidRPr="0083292E">
        <w:rPr>
          <w:rFonts w:eastAsia="Source Sans Pro" w:cs="Times New Roman"/>
          <w:color w:val="000000" w:themeColor="text1"/>
          <w:sz w:val="20"/>
          <w:szCs w:val="20"/>
        </w:rPr>
        <w:t xml:space="preserve">governance </w:t>
      </w:r>
      <w:r w:rsidRPr="0083292E">
        <w:rPr>
          <w:rFonts w:eastAsia="Source Sans Pro" w:cs="Times New Roman"/>
          <w:sz w:val="20"/>
          <w:szCs w:val="20"/>
        </w:rPr>
        <w:t>audit</w:t>
      </w:r>
    </w:p>
    <w:p w14:paraId="6C44BE00" w14:textId="77777777" w:rsidR="00DA67DD" w:rsidRPr="0083292E" w:rsidRDefault="00DA67DD" w:rsidP="00DA67DD">
      <w:pPr>
        <w:pStyle w:val="Paragraphedeliste"/>
        <w:numPr>
          <w:ilvl w:val="0"/>
          <w:numId w:val="16"/>
        </w:numPr>
        <w:spacing w:after="160" w:line="259" w:lineRule="auto"/>
        <w:contextualSpacing/>
        <w:rPr>
          <w:rFonts w:cs="Times New Roman"/>
          <w:sz w:val="20"/>
          <w:szCs w:val="20"/>
          <w:lang w:val="en-US"/>
        </w:rPr>
      </w:pPr>
      <w:r w:rsidRPr="0083292E">
        <w:rPr>
          <w:rFonts w:eastAsia="Source Sans Pro" w:cs="Times New Roman"/>
          <w:sz w:val="20"/>
          <w:szCs w:val="20"/>
        </w:rPr>
        <w:t>In close relationship with the investee’s management, definition of key governance indicators and objectives to be monitored by the companies (e.g., written CSR guidelines at a company level, s</w:t>
      </w:r>
      <w:r w:rsidRPr="0083292E">
        <w:rPr>
          <w:rFonts w:cs="Times New Roman"/>
          <w:sz w:val="20"/>
          <w:szCs w:val="20"/>
          <w:lang w:val="en-US"/>
        </w:rPr>
        <w:t>hare of independent members on the board, Share of women on the board of directors, etc.)</w:t>
      </w:r>
    </w:p>
    <w:p w14:paraId="2439F08D" w14:textId="77777777" w:rsidR="00DA67DD" w:rsidRPr="0083292E" w:rsidRDefault="00DA67DD" w:rsidP="00DA67DD">
      <w:pPr>
        <w:pStyle w:val="Paragraphedeliste"/>
        <w:numPr>
          <w:ilvl w:val="0"/>
          <w:numId w:val="16"/>
        </w:numPr>
        <w:spacing w:after="160" w:line="259" w:lineRule="auto"/>
        <w:contextualSpacing/>
        <w:rPr>
          <w:rFonts w:eastAsia="Source Sans Pro" w:cs="Times New Roman"/>
          <w:sz w:val="20"/>
          <w:szCs w:val="20"/>
        </w:rPr>
      </w:pPr>
      <w:r w:rsidRPr="0083292E">
        <w:rPr>
          <w:rFonts w:eastAsia="Source Sans Pro" w:cs="Times New Roman"/>
          <w:sz w:val="20"/>
          <w:szCs w:val="20"/>
        </w:rPr>
        <w:t>Letter of intent and shareholders agreements raising awareness among the entrepreneurs</w:t>
      </w:r>
    </w:p>
    <w:p w14:paraId="5DCE1016" w14:textId="77777777" w:rsidR="00DA67DD" w:rsidRPr="0083292E" w:rsidRDefault="00DA67DD" w:rsidP="00DA67DD">
      <w:pPr>
        <w:pStyle w:val="Paragraphedeliste"/>
        <w:numPr>
          <w:ilvl w:val="0"/>
          <w:numId w:val="16"/>
        </w:numPr>
        <w:spacing w:after="160" w:line="259" w:lineRule="auto"/>
        <w:contextualSpacing/>
        <w:rPr>
          <w:rFonts w:eastAsia="Source Sans Pro" w:cs="Times New Roman"/>
          <w:sz w:val="20"/>
          <w:szCs w:val="20"/>
        </w:rPr>
      </w:pPr>
      <w:r w:rsidRPr="0083292E">
        <w:rPr>
          <w:rFonts w:eastAsia="Source Sans Pro" w:cs="Times New Roman"/>
          <w:color w:val="000000" w:themeColor="text1"/>
          <w:sz w:val="20"/>
          <w:szCs w:val="20"/>
        </w:rPr>
        <w:t>Governance</w:t>
      </w:r>
      <w:r w:rsidRPr="0083292E">
        <w:rPr>
          <w:rFonts w:eastAsia="Source Sans Pro" w:cs="Times New Roman"/>
          <w:sz w:val="20"/>
          <w:szCs w:val="20"/>
        </w:rPr>
        <w:t xml:space="preserve"> criteria integrated into decision-making by the investment committee</w:t>
      </w:r>
    </w:p>
    <w:p w14:paraId="454C050B" w14:textId="77777777" w:rsidR="00DA67DD" w:rsidRPr="0083292E" w:rsidRDefault="00DA67DD" w:rsidP="00DA67DD">
      <w:pPr>
        <w:ind w:left="567"/>
        <w:rPr>
          <w:rFonts w:eastAsia="Source Sans Pro" w:cs="Times New Roman"/>
          <w:sz w:val="20"/>
          <w:szCs w:val="20"/>
          <w:lang w:val="en-US"/>
        </w:rPr>
      </w:pPr>
      <w:r w:rsidRPr="0083292E">
        <w:rPr>
          <w:rFonts w:cs="Times New Roman"/>
          <w:sz w:val="20"/>
          <w:szCs w:val="20"/>
          <w:lang w:val="en-US"/>
        </w:rPr>
        <w:br/>
      </w:r>
      <w:r w:rsidRPr="0083292E">
        <w:rPr>
          <w:rFonts w:eastAsia="Source Sans Pro" w:cs="Times New Roman"/>
          <w:sz w:val="20"/>
          <w:szCs w:val="20"/>
          <w:lang w:val="en-US"/>
        </w:rPr>
        <w:t xml:space="preserve">During the investment journey of the Fund portfolio companies, Elaia Partners is thus committed to establishing experienced and robust Boards of Directors to support its companies. Partners and Investment Directors responsible for the investments systematically sit on the Boards.  The importance of these Board director positions is reflected in the quality of the monitoring of the portfolio companies. </w:t>
      </w:r>
    </w:p>
    <w:p w14:paraId="106A43CD" w14:textId="77777777" w:rsidR="00DA67DD" w:rsidRPr="0083292E" w:rsidRDefault="00DA67DD" w:rsidP="00DA67DD">
      <w:pPr>
        <w:ind w:left="567"/>
        <w:rPr>
          <w:rFonts w:eastAsia="Source Sans Pro" w:cs="Times New Roman"/>
          <w:sz w:val="20"/>
          <w:szCs w:val="20"/>
          <w:lang w:val="en-US"/>
        </w:rPr>
      </w:pPr>
      <w:r w:rsidRPr="0083292E">
        <w:rPr>
          <w:rFonts w:eastAsia="Source Sans Pro" w:cs="Times New Roman"/>
          <w:sz w:val="20"/>
          <w:szCs w:val="20"/>
          <w:lang w:val="en-US"/>
        </w:rPr>
        <w:t>This presence in Boards enables:</w:t>
      </w:r>
    </w:p>
    <w:p w14:paraId="57B7C9EA" w14:textId="77777777" w:rsidR="00DA67DD" w:rsidRPr="0083292E" w:rsidRDefault="00DA67DD" w:rsidP="00DA67DD">
      <w:pPr>
        <w:pStyle w:val="Paragraphedeliste"/>
        <w:numPr>
          <w:ilvl w:val="0"/>
          <w:numId w:val="19"/>
        </w:numPr>
        <w:spacing w:after="160" w:line="259" w:lineRule="auto"/>
        <w:ind w:left="993" w:hanging="284"/>
        <w:contextualSpacing/>
        <w:rPr>
          <w:rFonts w:eastAsia="Source Sans Pro" w:cs="Times New Roman"/>
          <w:sz w:val="20"/>
          <w:szCs w:val="20"/>
          <w:lang w:val="en-US"/>
        </w:rPr>
      </w:pPr>
      <w:r w:rsidRPr="0083292E">
        <w:rPr>
          <w:rFonts w:eastAsia="Source Sans Pro" w:cs="Times New Roman"/>
          <w:sz w:val="20"/>
          <w:szCs w:val="20"/>
          <w:lang w:val="en-US"/>
        </w:rPr>
        <w:t>Regular meetings with the entrepreneurs every six to eight weeks at early stages</w:t>
      </w:r>
    </w:p>
    <w:p w14:paraId="40CA09EC" w14:textId="77777777" w:rsidR="00DA67DD" w:rsidRPr="0083292E" w:rsidRDefault="00DA67DD" w:rsidP="00DA67DD">
      <w:pPr>
        <w:pStyle w:val="Paragraphedeliste"/>
        <w:numPr>
          <w:ilvl w:val="0"/>
          <w:numId w:val="19"/>
        </w:numPr>
        <w:spacing w:after="160" w:line="259" w:lineRule="auto"/>
        <w:ind w:left="993" w:hanging="284"/>
        <w:contextualSpacing/>
        <w:rPr>
          <w:rFonts w:eastAsia="Source Sans Pro" w:cs="Times New Roman"/>
          <w:sz w:val="20"/>
          <w:szCs w:val="20"/>
          <w:lang w:val="en-US"/>
        </w:rPr>
      </w:pPr>
      <w:r w:rsidRPr="0083292E">
        <w:rPr>
          <w:rFonts w:eastAsia="Source Sans Pro" w:cs="Times New Roman"/>
          <w:sz w:val="20"/>
          <w:szCs w:val="20"/>
          <w:lang w:val="en-US"/>
        </w:rPr>
        <w:t>A detailed understanding of the progress on its development</w:t>
      </w:r>
    </w:p>
    <w:p w14:paraId="21EB7C80" w14:textId="77777777" w:rsidR="00DA67DD" w:rsidRPr="0083292E" w:rsidRDefault="00DA67DD" w:rsidP="00DA67DD">
      <w:pPr>
        <w:pStyle w:val="Paragraphedeliste"/>
        <w:numPr>
          <w:ilvl w:val="0"/>
          <w:numId w:val="19"/>
        </w:numPr>
        <w:spacing w:after="160" w:line="259" w:lineRule="auto"/>
        <w:ind w:left="993" w:hanging="284"/>
        <w:contextualSpacing/>
        <w:rPr>
          <w:rFonts w:eastAsia="Source Sans Pro" w:cs="Times New Roman"/>
          <w:sz w:val="20"/>
          <w:szCs w:val="20"/>
          <w:lang w:val="en-US"/>
        </w:rPr>
      </w:pPr>
      <w:r w:rsidRPr="0083292E">
        <w:rPr>
          <w:rFonts w:eastAsia="Source Sans Pro" w:cs="Times New Roman"/>
          <w:sz w:val="20"/>
          <w:szCs w:val="20"/>
          <w:lang w:val="en-US"/>
        </w:rPr>
        <w:t>The establishment and monitoring of business-specific and extra financial KPIs which will be reported in our quarterly, bi-annual and annual financial and extra-financial reports</w:t>
      </w:r>
    </w:p>
    <w:p w14:paraId="62140534" w14:textId="77777777" w:rsidR="00DA67DD" w:rsidRPr="0083292E" w:rsidRDefault="00DA67DD" w:rsidP="00DA67DD">
      <w:pPr>
        <w:pStyle w:val="Paragraphedeliste"/>
        <w:numPr>
          <w:ilvl w:val="0"/>
          <w:numId w:val="19"/>
        </w:numPr>
        <w:spacing w:after="160" w:line="259" w:lineRule="auto"/>
        <w:ind w:left="993" w:hanging="284"/>
        <w:contextualSpacing/>
        <w:rPr>
          <w:rFonts w:eastAsia="Source Sans Pro" w:cs="Times New Roman"/>
          <w:sz w:val="20"/>
          <w:szCs w:val="20"/>
          <w:lang w:val="en-US"/>
        </w:rPr>
      </w:pPr>
      <w:r w:rsidRPr="0083292E">
        <w:rPr>
          <w:rFonts w:eastAsia="Source Sans Pro" w:cs="Times New Roman"/>
          <w:sz w:val="20"/>
          <w:szCs w:val="20"/>
          <w:lang w:val="en-US"/>
        </w:rPr>
        <w:t xml:space="preserve">An ever deeper and dynamic evaluation of the company’s real potential </w:t>
      </w:r>
    </w:p>
    <w:p w14:paraId="35187967" w14:textId="77777777" w:rsidR="00DA67DD" w:rsidRPr="0083292E" w:rsidRDefault="00DA67DD" w:rsidP="00DA67DD">
      <w:pPr>
        <w:ind w:left="567"/>
        <w:rPr>
          <w:rFonts w:eastAsia="Source Sans Pro" w:cs="Times New Roman"/>
          <w:sz w:val="20"/>
          <w:szCs w:val="20"/>
          <w:lang w:val="en-US"/>
        </w:rPr>
      </w:pPr>
      <w:r w:rsidRPr="0083292E">
        <w:rPr>
          <w:rFonts w:eastAsia="Source Sans Pro" w:cs="Times New Roman"/>
          <w:sz w:val="20"/>
          <w:szCs w:val="20"/>
          <w:lang w:val="en-US"/>
        </w:rPr>
        <w:lastRenderedPageBreak/>
        <w:t xml:space="preserve">Board of Directors’ meetings enable the members of the the Fund investment team to have an accurate vision that is close to the companies’ operating reality. This enables them to provide the best advice and support but also to make informed investment decisions. </w:t>
      </w:r>
    </w:p>
    <w:p w14:paraId="06F63246" w14:textId="77777777" w:rsidR="00DA67DD" w:rsidRPr="0083292E" w:rsidRDefault="00DA67DD" w:rsidP="00DA67DD">
      <w:pPr>
        <w:ind w:left="567"/>
        <w:rPr>
          <w:rFonts w:eastAsia="Source Sans Pro" w:cs="Times New Roman"/>
          <w:sz w:val="20"/>
          <w:szCs w:val="20"/>
          <w:lang w:val="en-US"/>
        </w:rPr>
      </w:pPr>
      <w:r w:rsidRPr="0083292E">
        <w:rPr>
          <w:rFonts w:eastAsia="Source Sans Pro" w:cs="Times New Roman"/>
          <w:sz w:val="20"/>
          <w:szCs w:val="20"/>
          <w:lang w:val="en-US"/>
        </w:rPr>
        <w:t>One of Elaia Partners’ regular contributions is also the appointment to Boards of high-profile, independent Board Directors. These independent Board Directors, often proposed from within Elaia Partners’ network, have expert industry profiles and can thus make a strong contribution to the quality of strategic discussions.</w:t>
      </w:r>
    </w:p>
    <w:p w14:paraId="2DF35058" w14:textId="77777777" w:rsidR="00DA67DD" w:rsidRPr="0083292E" w:rsidRDefault="00DA67DD" w:rsidP="00DA67DD">
      <w:pPr>
        <w:rPr>
          <w:rFonts w:cs="Times New Roman"/>
          <w:sz w:val="20"/>
          <w:szCs w:val="20"/>
          <w:lang w:val="en-US"/>
        </w:rPr>
      </w:pPr>
    </w:p>
    <w:p w14:paraId="328D9333" w14:textId="77777777" w:rsidR="00DA67DD" w:rsidRDefault="00DA67DD" w:rsidP="00DA67DD">
      <w:pPr>
        <w:rPr>
          <w:rFonts w:cs="Times New Roman"/>
          <w:sz w:val="20"/>
          <w:szCs w:val="20"/>
        </w:rPr>
      </w:pPr>
    </w:p>
    <w:p w14:paraId="7C54DC39" w14:textId="77777777" w:rsidR="00DA67DD" w:rsidRDefault="00DA67DD" w:rsidP="00DA67DD">
      <w:pPr>
        <w:rPr>
          <w:rFonts w:cs="Times New Roman"/>
          <w:sz w:val="20"/>
          <w:szCs w:val="20"/>
        </w:rPr>
      </w:pPr>
    </w:p>
    <w:p w14:paraId="5E916899" w14:textId="77777777" w:rsidR="00DA67DD" w:rsidRDefault="00DA67DD" w:rsidP="00DA67DD">
      <w:pPr>
        <w:rPr>
          <w:rFonts w:cs="Times New Roman"/>
          <w:sz w:val="20"/>
          <w:szCs w:val="20"/>
        </w:rPr>
      </w:pPr>
    </w:p>
    <w:p w14:paraId="0B669305" w14:textId="77777777" w:rsidR="00DA67DD" w:rsidRPr="0083292E" w:rsidRDefault="00DA67DD" w:rsidP="00DA67DD">
      <w:pPr>
        <w:rPr>
          <w:rFonts w:cs="Times New Roman"/>
          <w:sz w:val="20"/>
          <w:szCs w:val="20"/>
        </w:rPr>
      </w:pPr>
      <w:r w:rsidRPr="0083292E">
        <w:rPr>
          <w:rFonts w:cs="Times New Roman"/>
          <w:noProof/>
          <w:sz w:val="20"/>
          <w:szCs w:val="20"/>
        </w:rPr>
        <w:drawing>
          <wp:anchor distT="0" distB="0" distL="114300" distR="114300" simplePos="0" relativeHeight="251662336" behindDoc="1" locked="0" layoutInCell="1" hidden="0" allowOverlap="1" wp14:anchorId="50094A07" wp14:editId="0F69CA42">
            <wp:simplePos x="0" y="0"/>
            <wp:positionH relativeFrom="column">
              <wp:posOffset>-37465</wp:posOffset>
            </wp:positionH>
            <wp:positionV relativeFrom="paragraph">
              <wp:posOffset>109855</wp:posOffset>
            </wp:positionV>
            <wp:extent cx="924485" cy="523875"/>
            <wp:effectExtent l="0" t="0" r="0" b="0"/>
            <wp:wrapNone/>
            <wp:docPr id="1348713774" name="Image 1348713774"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1.png" descr="Une image contenant diagramme&#10;&#10;Description générée automatiquement"/>
                    <pic:cNvPicPr preferRelativeResize="0"/>
                  </pic:nvPicPr>
                  <pic:blipFill>
                    <a:blip r:embed="rId10"/>
                    <a:srcRect/>
                    <a:stretch>
                      <a:fillRect/>
                    </a:stretch>
                  </pic:blipFill>
                  <pic:spPr>
                    <a:xfrm>
                      <a:off x="0" y="0"/>
                      <a:ext cx="924485" cy="523875"/>
                    </a:xfrm>
                    <a:prstGeom prst="rect">
                      <a:avLst/>
                    </a:prstGeom>
                    <a:ln/>
                  </pic:spPr>
                </pic:pic>
              </a:graphicData>
            </a:graphic>
          </wp:anchor>
        </w:drawing>
      </w:r>
    </w:p>
    <w:p w14:paraId="7922EDB2" w14:textId="77777777" w:rsidR="00DA67DD" w:rsidRPr="0083292E" w:rsidRDefault="00DA67DD" w:rsidP="00DA67DD">
      <w:pPr>
        <w:ind w:left="567"/>
        <w:rPr>
          <w:rFonts w:cs="Times New Roman"/>
          <w:sz w:val="20"/>
          <w:szCs w:val="20"/>
        </w:rPr>
      </w:pPr>
    </w:p>
    <w:p w14:paraId="4C05BF6C" w14:textId="77777777" w:rsidR="00DA67DD" w:rsidRPr="0083292E" w:rsidRDefault="00DA67DD" w:rsidP="00DA67DD">
      <w:pPr>
        <w:numPr>
          <w:ilvl w:val="3"/>
          <w:numId w:val="14"/>
        </w:numPr>
        <w:ind w:left="2250"/>
        <w:rPr>
          <w:rFonts w:cs="Times New Roman"/>
          <w:sz w:val="20"/>
          <w:szCs w:val="20"/>
        </w:rPr>
      </w:pPr>
      <w:r w:rsidRPr="0083292E">
        <w:rPr>
          <w:rFonts w:cs="Times New Roman"/>
          <w:b/>
          <w:sz w:val="20"/>
          <w:szCs w:val="20"/>
        </w:rPr>
        <w:t>What is the asset allocation planned for this financial product?</w:t>
      </w:r>
    </w:p>
    <w:p w14:paraId="138D7285" w14:textId="77777777" w:rsidR="00DA67DD" w:rsidRPr="0083292E" w:rsidRDefault="00DA67DD" w:rsidP="00DA67DD">
      <w:pPr>
        <w:rPr>
          <w:rFonts w:cs="Times New Roman"/>
          <w:sz w:val="20"/>
          <w:szCs w:val="20"/>
        </w:rPr>
      </w:pPr>
    </w:p>
    <w:p w14:paraId="346F1B74" w14:textId="77777777" w:rsidR="00DA67DD" w:rsidRDefault="00DA67DD" w:rsidP="00DA67DD">
      <w:pPr>
        <w:rPr>
          <w:rFonts w:cs="Times New Roman"/>
          <w:sz w:val="20"/>
          <w:szCs w:val="20"/>
        </w:rPr>
      </w:pPr>
      <w:r w:rsidRPr="00776340">
        <w:rPr>
          <w:rFonts w:ascii="Calibri" w:eastAsia="Calibri" w:hAnsi="Calibri"/>
          <w:noProof/>
        </w:rPr>
        <mc:AlternateContent>
          <mc:Choice Requires="wps">
            <w:drawing>
              <wp:anchor distT="0" distB="0" distL="114300" distR="114300" simplePos="0" relativeHeight="251677696" behindDoc="0" locked="0" layoutInCell="1" allowOverlap="1" wp14:anchorId="6881060A" wp14:editId="38D19316">
                <wp:simplePos x="0" y="0"/>
                <wp:positionH relativeFrom="page">
                  <wp:posOffset>67310</wp:posOffset>
                </wp:positionH>
                <wp:positionV relativeFrom="margin">
                  <wp:posOffset>1283829</wp:posOffset>
                </wp:positionV>
                <wp:extent cx="1061085" cy="937895"/>
                <wp:effectExtent l="0" t="0" r="5715" b="1905"/>
                <wp:wrapSquare wrapText="bothSides"/>
                <wp:docPr id="1111083675" name="Rectangle 1111083675"/>
                <wp:cNvGraphicFramePr/>
                <a:graphic xmlns:a="http://schemas.openxmlformats.org/drawingml/2006/main">
                  <a:graphicData uri="http://schemas.microsoft.com/office/word/2010/wordprocessingShape">
                    <wps:wsp>
                      <wps:cNvSpPr/>
                      <wps:spPr>
                        <a:xfrm>
                          <a:off x="0" y="0"/>
                          <a:ext cx="1061085" cy="937895"/>
                        </a:xfrm>
                        <a:prstGeom prst="rect">
                          <a:avLst/>
                        </a:prstGeom>
                        <a:solidFill>
                          <a:sysClr val="window" lastClr="FFFFFF">
                            <a:lumMod val="95000"/>
                          </a:sysClr>
                        </a:solidFill>
                        <a:ln w="12700" cap="flat" cmpd="sng" algn="ctr">
                          <a:noFill/>
                          <a:prstDash val="solid"/>
                          <a:miter lim="800000"/>
                        </a:ln>
                        <a:effectLst/>
                      </wps:spPr>
                      <wps:txbx>
                        <w:txbxContent>
                          <w:p w14:paraId="0B9DA6C0" w14:textId="77777777" w:rsidR="00DA67DD" w:rsidRPr="00D21FBB" w:rsidRDefault="00DA67DD" w:rsidP="00DA67DD">
                            <w:pPr>
                              <w:ind w:left="-142"/>
                              <w:rPr>
                                <w:rFonts w:asciiTheme="minorHAnsi" w:hAnsiTheme="minorHAnsi" w:cstheme="minorHAnsi"/>
                                <w:b/>
                                <w:bCs/>
                                <w:color w:val="000000"/>
                                <w:sz w:val="18"/>
                                <w:szCs w:val="21"/>
                              </w:rPr>
                            </w:pPr>
                            <w:r w:rsidRPr="00D21FBB">
                              <w:rPr>
                                <w:rFonts w:asciiTheme="minorHAnsi" w:hAnsiTheme="minorHAnsi" w:cstheme="minorHAnsi"/>
                                <w:b/>
                                <w:bCs/>
                                <w:color w:val="000000"/>
                                <w:sz w:val="18"/>
                                <w:szCs w:val="21"/>
                              </w:rPr>
                              <w:t xml:space="preserve">Asset allocation </w:t>
                            </w:r>
                            <w:r w:rsidRPr="00D21FBB">
                              <w:rPr>
                                <w:rFonts w:asciiTheme="minorHAnsi" w:hAnsiTheme="minorHAnsi" w:cstheme="minorHAnsi"/>
                                <w:bCs/>
                                <w:color w:val="000000"/>
                                <w:sz w:val="18"/>
                                <w:szCs w:val="21"/>
                              </w:rPr>
                              <w:t>describes the share of investments in specific assets.</w:t>
                            </w:r>
                          </w:p>
                          <w:p w14:paraId="3A12D6F6" w14:textId="77777777" w:rsidR="00DA67DD" w:rsidRPr="00D21FBB" w:rsidRDefault="00DA67DD" w:rsidP="00DA67DD">
                            <w:pPr>
                              <w:ind w:left="-142" w:right="-272"/>
                              <w:rPr>
                                <w:rFonts w:asciiTheme="minorHAnsi" w:hAnsiTheme="minorHAnsi" w:cstheme="minorHAnsi"/>
                                <w:b/>
                                <w:bCs/>
                                <w:color w:val="000000"/>
                                <w:sz w:val="16"/>
                                <w:szCs w:val="20"/>
                              </w:rPr>
                            </w:pPr>
                          </w:p>
                          <w:p w14:paraId="7FCD7295" w14:textId="77777777" w:rsidR="00DA67DD" w:rsidRPr="00D21FBB" w:rsidRDefault="00DA67DD" w:rsidP="00DA67DD">
                            <w:pPr>
                              <w:ind w:left="-142"/>
                              <w:rPr>
                                <w:rFonts w:asciiTheme="minorHAnsi" w:hAnsiTheme="minorHAnsi" w:cstheme="minorHAnsi"/>
                                <w:color w:val="000000"/>
                                <w:sz w:val="20"/>
                                <w:szCs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1060A" id="Rectangle 1111083675" o:spid="_x0000_s1032" style="position:absolute;left:0;text-align:left;margin-left:5.3pt;margin-top:101.1pt;width:83.55pt;height:73.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dXOfgIAAOcEAAAOAAAAZHJzL2Uyb0RvYy54bWysVMFu2zAMvQ/YPwi6r3bSJk2DOkXQIsOA&#13;&#10;ri3QDj0rshwLkERNUmJnXz+KTpOt22lYDgopUeTj06Ovb3pr2E6FqMFVfHRWcqachFq7TcW/vaw+&#13;&#10;zTiLSbhaGHCq4nsV+c3i44frzs/VGFowtQoMk7g473zF25T8vCiibJUV8Qy8cnjYQLAioRs2RR1E&#13;&#10;h9mtKcZlOS06CLUPIFWMuHs3HPIF5W8aJdNj00SVmKk4Yku0BlrXeS0W12K+CcK3Wh5giH9AYYV2&#13;&#10;WPSY6k4kwbZB/5HKahkgQpPOJNgCmkZLRT1gN6PyXTfPrfCKekFyoj/SFP9fWvmwe/ZPAWnofJxH&#13;&#10;NHMXfRNs/kd8rCey9keyVJ+YxM1ROR2VswlnEs+uzi9nV5PMZnG67UNMnxVYlo2KB3wM4kjs7mMa&#13;&#10;Qt9CcrEIRtcrbQw5+3hrAtsJfDd87ho6zoyICTcrvqIf5TJb+xXqIe5qUpb0oogh0n2C81te41iH&#13;&#10;2MeXGMmkQMU1RiQ0ra8rHt2GM2E2KGWZAhVwkCGRTDLYOxHboRqlHfRjdUIRG20rPkMIRxDG5VYU&#13;&#10;yfDQ8onlbKV+3TONhac5Ud5ZQ71/CizAoNTo5Upj2Xts/UkElCbCxnFLj7g0BrAXOFictRB+/G0/&#13;&#10;x6Ni8JSzDqWOfX7fiqCQ0S8OtTS6uMiYWSLvfEpOIGc8wSHDozV5F5PLMTpua28B32WEo+0lmbgb&#13;&#10;knkzmwD2FedymevikXASqw+cHpzbNAwhTrZUyyWF4UR4ke7ds5c5eeYuU/7Sv4rgDyJKKL8HeBsM&#13;&#10;MX+npSE233Sw3CZoNAntxCwqIjs4TaSNw+Tncf3Vp6jT92nxEwAA//8DAFBLAwQUAAYACAAAACEA&#13;&#10;53An6eEAAAAPAQAADwAAAGRycy9kb3ducmV2LnhtbExPPU/DMBDdkfgP1iGxUbsB1TSNU1EqRCVg&#13;&#10;oMDuxkcS1T5HsZuEf487wXLS073PYj05ywbsQ+tJwXwmgCFV3rRUK/j8eLq5BxaiJqOtJ1TwgwHW&#13;&#10;5eVFoXPjR3rHYR9rlkwo5FpBE2OXcx6qBp0OM98hpd+3752OCfY1N70ek7mzPBNiwZ1uKSU0usPH&#13;&#10;Bqvj/uQUtLvj3Gxe404+j2920NuXr2kjlbq+mrardB5WwCJO8U8B5w2pP5Sp2MGfyARmExaLxFSQ&#13;&#10;iSwDdiZIKYEdFNzeLZfAy4L/31H+AgAA//8DAFBLAQItABQABgAIAAAAIQC2gziS/gAAAOEBAAAT&#13;&#10;AAAAAAAAAAAAAAAAAAAAAABbQ29udGVudF9UeXBlc10ueG1sUEsBAi0AFAAGAAgAAAAhADj9If/W&#13;&#10;AAAAlAEAAAsAAAAAAAAAAAAAAAAALwEAAF9yZWxzLy5yZWxzUEsBAi0AFAAGAAgAAAAhAIQN1c5+&#13;&#10;AgAA5wQAAA4AAAAAAAAAAAAAAAAALgIAAGRycy9lMm9Eb2MueG1sUEsBAi0AFAAGAAgAAAAhAOdw&#13;&#10;J+nhAAAADwEAAA8AAAAAAAAAAAAAAAAA2AQAAGRycy9kb3ducmV2LnhtbFBLBQYAAAAABAAEAPMA&#13;&#10;AADmBQAAAAA=&#13;&#10;" fillcolor="#f2f2f2" stroked="f" strokeweight="1pt">
                <v:textbox inset="4mm,1mm,7mm">
                  <w:txbxContent>
                    <w:p w14:paraId="0B9DA6C0" w14:textId="77777777" w:rsidR="00DA67DD" w:rsidRPr="00D21FBB" w:rsidRDefault="00DA67DD" w:rsidP="00DA67DD">
                      <w:pPr>
                        <w:ind w:left="-142"/>
                        <w:rPr>
                          <w:rFonts w:asciiTheme="minorHAnsi" w:hAnsiTheme="minorHAnsi" w:cstheme="minorHAnsi"/>
                          <w:b/>
                          <w:bCs/>
                          <w:color w:val="000000"/>
                          <w:sz w:val="18"/>
                          <w:szCs w:val="21"/>
                        </w:rPr>
                      </w:pPr>
                      <w:r w:rsidRPr="00D21FBB">
                        <w:rPr>
                          <w:rFonts w:asciiTheme="minorHAnsi" w:hAnsiTheme="minorHAnsi" w:cstheme="minorHAnsi"/>
                          <w:b/>
                          <w:bCs/>
                          <w:color w:val="000000"/>
                          <w:sz w:val="18"/>
                          <w:szCs w:val="21"/>
                        </w:rPr>
                        <w:t xml:space="preserve">Asset allocation </w:t>
                      </w:r>
                      <w:r w:rsidRPr="00D21FBB">
                        <w:rPr>
                          <w:rFonts w:asciiTheme="minorHAnsi" w:hAnsiTheme="minorHAnsi" w:cstheme="minorHAnsi"/>
                          <w:bCs/>
                          <w:color w:val="000000"/>
                          <w:sz w:val="18"/>
                          <w:szCs w:val="21"/>
                        </w:rPr>
                        <w:t>describes the share of investments in specific assets.</w:t>
                      </w:r>
                    </w:p>
                    <w:p w14:paraId="3A12D6F6" w14:textId="77777777" w:rsidR="00DA67DD" w:rsidRPr="00D21FBB" w:rsidRDefault="00DA67DD" w:rsidP="00DA67DD">
                      <w:pPr>
                        <w:ind w:left="-142" w:right="-272"/>
                        <w:rPr>
                          <w:rFonts w:asciiTheme="minorHAnsi" w:hAnsiTheme="minorHAnsi" w:cstheme="minorHAnsi"/>
                          <w:b/>
                          <w:bCs/>
                          <w:color w:val="000000"/>
                          <w:sz w:val="16"/>
                          <w:szCs w:val="20"/>
                        </w:rPr>
                      </w:pPr>
                    </w:p>
                    <w:p w14:paraId="7FCD7295" w14:textId="77777777" w:rsidR="00DA67DD" w:rsidRPr="00D21FBB" w:rsidRDefault="00DA67DD" w:rsidP="00DA67DD">
                      <w:pPr>
                        <w:ind w:left="-142"/>
                        <w:rPr>
                          <w:rFonts w:asciiTheme="minorHAnsi" w:hAnsiTheme="minorHAnsi" w:cstheme="minorHAnsi"/>
                          <w:color w:val="000000"/>
                          <w:sz w:val="20"/>
                          <w:szCs w:val="20"/>
                        </w:rPr>
                      </w:pPr>
                    </w:p>
                  </w:txbxContent>
                </v:textbox>
                <w10:wrap type="square" anchorx="page" anchory="margin"/>
              </v:rect>
            </w:pict>
          </mc:Fallback>
        </mc:AlternateContent>
      </w:r>
    </w:p>
    <w:p w14:paraId="257D0164" w14:textId="77777777" w:rsidR="00DA67DD" w:rsidRPr="0083292E" w:rsidRDefault="00DA67DD" w:rsidP="00DA67DD">
      <w:pPr>
        <w:rPr>
          <w:rFonts w:cs="Times New Roman"/>
          <w:sz w:val="20"/>
          <w:szCs w:val="20"/>
        </w:rPr>
      </w:pPr>
      <w:r w:rsidRPr="0083292E">
        <w:rPr>
          <w:rFonts w:cs="Times New Roman"/>
          <w:sz w:val="20"/>
          <w:szCs w:val="20"/>
        </w:rPr>
        <w:t>The composition of the Fund’s assets is defined in accordance with Article 3.2 of the By-Laws.</w:t>
      </w:r>
    </w:p>
    <w:p w14:paraId="47AB2169" w14:textId="77777777" w:rsidR="00DA67DD" w:rsidRPr="0083292E" w:rsidRDefault="00DA67DD" w:rsidP="00DA67DD">
      <w:pPr>
        <w:rPr>
          <w:rFonts w:cs="Times New Roman"/>
          <w:sz w:val="20"/>
          <w:szCs w:val="20"/>
        </w:rPr>
      </w:pPr>
    </w:p>
    <w:p w14:paraId="0B2D88F2" w14:textId="77777777" w:rsidR="00DA67DD" w:rsidRPr="0083292E" w:rsidRDefault="00DA67DD" w:rsidP="00DA67DD">
      <w:pPr>
        <w:rPr>
          <w:rFonts w:cs="Times New Roman"/>
          <w:sz w:val="20"/>
          <w:szCs w:val="20"/>
          <w:lang w:val="en-US"/>
        </w:rPr>
      </w:pPr>
      <w:r w:rsidRPr="0083292E">
        <w:rPr>
          <w:rFonts w:cs="Times New Roman"/>
          <w:sz w:val="20"/>
          <w:szCs w:val="20"/>
        </w:rPr>
        <w:t>The Fund’s aim is to make Investments in the form of the acquisition of equity and quasi-equity Interests in Companies which do business or plan to do business, and mainly in Companies which do business in "B2B" (business to business) commercial relations, with a deep-tech focus to their business</w:t>
      </w:r>
      <w:r>
        <w:rPr>
          <w:rFonts w:cs="Times New Roman"/>
          <w:sz w:val="20"/>
          <w:szCs w:val="20"/>
        </w:rPr>
        <w:t>.</w:t>
      </w:r>
    </w:p>
    <w:p w14:paraId="6CEB708C" w14:textId="77777777" w:rsidR="00DA67DD" w:rsidRPr="0083292E" w:rsidRDefault="00DA67DD" w:rsidP="00DA67DD">
      <w:pPr>
        <w:spacing w:line="257" w:lineRule="auto"/>
        <w:rPr>
          <w:rFonts w:cs="Times New Roman"/>
          <w:sz w:val="20"/>
          <w:szCs w:val="20"/>
          <w:lang w:val="en-US"/>
        </w:rPr>
      </w:pPr>
      <w:r w:rsidRPr="003A1C01">
        <w:rPr>
          <w:rFonts w:ascii="Calibri" w:hAnsi="Calibri"/>
          <w:noProof/>
          <w:szCs w:val="24"/>
        </w:rPr>
        <mc:AlternateContent>
          <mc:Choice Requires="wps">
            <w:drawing>
              <wp:anchor distT="0" distB="0" distL="114300" distR="114300" simplePos="0" relativeHeight="251676672" behindDoc="0" locked="0" layoutInCell="1" allowOverlap="1" wp14:anchorId="5B048A95" wp14:editId="58455CEE">
                <wp:simplePos x="0" y="0"/>
                <wp:positionH relativeFrom="page">
                  <wp:posOffset>101600</wp:posOffset>
                </wp:positionH>
                <wp:positionV relativeFrom="margin">
                  <wp:posOffset>2292773</wp:posOffset>
                </wp:positionV>
                <wp:extent cx="1026795" cy="4447540"/>
                <wp:effectExtent l="0" t="0" r="1905" b="0"/>
                <wp:wrapSquare wrapText="bothSides"/>
                <wp:docPr id="549996794" name="Rectangle 549996794"/>
                <wp:cNvGraphicFramePr/>
                <a:graphic xmlns:a="http://schemas.openxmlformats.org/drawingml/2006/main">
                  <a:graphicData uri="http://schemas.microsoft.com/office/word/2010/wordprocessingShape">
                    <wps:wsp>
                      <wps:cNvSpPr/>
                      <wps:spPr>
                        <a:xfrm>
                          <a:off x="0" y="0"/>
                          <a:ext cx="1026795" cy="4447540"/>
                        </a:xfrm>
                        <a:prstGeom prst="rect">
                          <a:avLst/>
                        </a:prstGeom>
                        <a:solidFill>
                          <a:sysClr val="window" lastClr="FFFFFF">
                            <a:lumMod val="95000"/>
                          </a:sysClr>
                        </a:solidFill>
                        <a:ln w="12700" cap="flat" cmpd="sng" algn="ctr">
                          <a:noFill/>
                          <a:prstDash val="solid"/>
                          <a:miter lim="800000"/>
                        </a:ln>
                        <a:effectLst/>
                      </wps:spPr>
                      <wps:txbx>
                        <w:txbxContent>
                          <w:p w14:paraId="45983A64" w14:textId="77777777" w:rsidR="00DA67DD" w:rsidRPr="00457493" w:rsidRDefault="00DA67DD" w:rsidP="00DA67DD">
                            <w:pPr>
                              <w:ind w:left="-142" w:right="-272"/>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Taxonomy-aligned activities are expressed as a share of:</w:t>
                            </w:r>
                          </w:p>
                          <w:p w14:paraId="7C04D668" w14:textId="77777777" w:rsidR="00DA67DD" w:rsidRPr="00457493" w:rsidRDefault="00DA67DD" w:rsidP="00DA67DD">
                            <w:pPr>
                              <w:pStyle w:val="Paragraphedeliste"/>
                              <w:numPr>
                                <w:ilvl w:val="0"/>
                                <w:numId w:val="20"/>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 xml:space="preserve"> </w:t>
                            </w:r>
                            <w:r w:rsidRPr="00457493">
                              <w:rPr>
                                <w:rFonts w:asciiTheme="minorHAnsi" w:hAnsiTheme="minorHAnsi" w:cstheme="minorHAnsi"/>
                                <w:b/>
                                <w:bCs/>
                                <w:color w:val="000000"/>
                                <w:sz w:val="18"/>
                                <w:szCs w:val="21"/>
                              </w:rPr>
                              <w:t>turnover</w:t>
                            </w:r>
                            <w:r w:rsidRPr="00457493">
                              <w:rPr>
                                <w:rFonts w:asciiTheme="minorHAnsi" w:hAnsiTheme="minorHAnsi" w:cstheme="minorHAnsi"/>
                                <w:bCs/>
                                <w:color w:val="000000"/>
                                <w:sz w:val="18"/>
                                <w:szCs w:val="21"/>
                              </w:rPr>
                              <w:t xml:space="preserve"> reflecting the share of revenue from green activities of investee companies</w:t>
                            </w:r>
                          </w:p>
                          <w:p w14:paraId="60A249F1" w14:textId="77777777" w:rsidR="00DA67DD" w:rsidRPr="00457493" w:rsidRDefault="00DA67DD" w:rsidP="00DA67DD">
                            <w:pPr>
                              <w:pStyle w:val="Paragraphedeliste"/>
                              <w:numPr>
                                <w:ilvl w:val="0"/>
                                <w:numId w:val="20"/>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capital expenditure</w:t>
                            </w:r>
                            <w:r w:rsidRPr="00457493">
                              <w:rPr>
                                <w:rFonts w:asciiTheme="minorHAnsi" w:hAnsiTheme="minorHAnsi" w:cstheme="minorHAnsi"/>
                                <w:bCs/>
                                <w:color w:val="000000"/>
                                <w:sz w:val="18"/>
                                <w:szCs w:val="21"/>
                              </w:rPr>
                              <w:t xml:space="preserve"> (CapEx) showing the green investments made by investee companies, e.g. for a transition to a green economy. </w:t>
                            </w:r>
                          </w:p>
                          <w:p w14:paraId="4CFB8D9F" w14:textId="77777777" w:rsidR="00DA67DD" w:rsidRPr="00457493" w:rsidRDefault="00DA67DD" w:rsidP="00DA67DD">
                            <w:pPr>
                              <w:rPr>
                                <w:color w:val="000000"/>
                                <w:sz w:val="16"/>
                                <w:szCs w:val="20"/>
                              </w:rPr>
                            </w:pPr>
                            <w:r w:rsidRPr="00457493">
                              <w:rPr>
                                <w:rFonts w:asciiTheme="minorHAnsi" w:hAnsiTheme="minorHAnsi" w:cstheme="minorHAnsi"/>
                                <w:b/>
                                <w:bCs/>
                                <w:color w:val="000000"/>
                                <w:sz w:val="18"/>
                                <w:szCs w:val="21"/>
                              </w:rPr>
                              <w:t>operational expenditure</w:t>
                            </w:r>
                            <w:r w:rsidRPr="00457493">
                              <w:rPr>
                                <w:rFonts w:asciiTheme="minorHAnsi" w:hAnsiTheme="minorHAnsi" w:cstheme="minorHAnsi"/>
                                <w:bCs/>
                                <w:color w:val="000000"/>
                                <w:sz w:val="18"/>
                                <w:szCs w:val="21"/>
                              </w:rPr>
                              <w:t xml:space="preserve"> (OpEx) reflecting</w:t>
                            </w:r>
                            <w:r w:rsidRPr="00457493">
                              <w:rPr>
                                <w:rFonts w:asciiTheme="minorHAnsi" w:hAnsiTheme="minorHAnsi" w:cstheme="minorHAnsi"/>
                                <w:color w:val="000000"/>
                                <w:sz w:val="18"/>
                                <w:szCs w:val="21"/>
                              </w:rPr>
                              <w:t xml:space="preserve"> green operational activities o</w:t>
                            </w:r>
                            <w:r w:rsidRPr="00457493">
                              <w:rPr>
                                <w:rFonts w:asciiTheme="minorHAnsi" w:hAnsiTheme="minorHAnsi" w:cstheme="minorHAnsi"/>
                                <w:bCs/>
                                <w:color w:val="000000"/>
                                <w:sz w:val="18"/>
                                <w:szCs w:val="21"/>
                              </w:rPr>
                              <w:t>f investee 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48A95" id="Rectangle 549996794" o:spid="_x0000_s1033" style="position:absolute;left:0;text-align:left;margin-left:8pt;margin-top:180.55pt;width:80.85pt;height:350.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kTyfAIAAOgEAAAOAAAAZHJzL2Uyb0RvYy54bWysVMtuEzEU3SPxD5b3dCZh0rRRJ1XUKgip&#13;&#10;0Eot6trxeDKW/MJ2Mglfz7EnDyisEFk49+X7OD53bm53WpGt8EFaU9PRRUmJMNw20qxr+u1l+eGK&#13;&#10;khCZaZiyRtR0LwK9nb9/d9O7mRjbzqpGeIIkJsx6V9MuRjcrisA7oVm4sE4YOFvrNYtQ/bpoPOuR&#13;&#10;XatiXJaXRW9947zlIgRY7wcnnef8bSt4fGzbICJRNUVvMZ8+n6t0FvMbNlt75jrJD22wf+hCM2lQ&#13;&#10;9JTqnkVGNl7+kUpL7m2wbbzgVhe2bSUXeQZMMyrfTPPcMSfyLAAnuBNM4f+l5V+3z+7JA4behVmA&#13;&#10;mKbYtV6nf/RHdhms/QkssYuEwzgqx5fT6wklHL6qqqaTKsNZnK87H+InYTVJQk09XiODxLYPIaIk&#13;&#10;Qo8hqVqwSjZLqVRW9uFOebJleDi8d2N7ShQLEcaaLvMv51Ib/cU2Q9z1pCyPPYR8P9f4La8ypEfz&#13;&#10;4ykiCWegXKtYhKhdU9Ng1pQwtQaXefS5gLGppcyT1Ow9C91QLacdCKRlBIuV1DW9QgunJpRJo4jM&#13;&#10;w8PIZ5iTFHerHZEoPE2JkmVlm/2TJ94OVA2OLyXKPmD0J+bBTbSNfYuPOFplMYs9SJR01v/4mz3F&#13;&#10;gzLwUtKD65jz+4Z5AUQ/G5BpVFWpZxKz9vEyKz4r4wm2DK5V1qrJdAzFbPSdxbuMsNuOZxFWH9VR&#13;&#10;bL3Vr1jMRaoLFzMc1QdMD8pdHLYQq83FYpHDsBKOxQfz7HhKnrBLkL/sXpl3BxJF8O+rPW4Gm73h&#13;&#10;0hCbbhq72ETbyky0M7JgRFKwTpkbh9VP+/qrnqPOH6j5TwAAAP//AwBQSwMEFAAGAAgAAAAhAByM&#13;&#10;dXrjAAAAEAEAAA8AAABkcnMvZG93bnJldi54bWxMj09PwzAMxe9IfIfISNxYGhAN6ppOjAkxiXFg&#13;&#10;wN1rQlstf6oma8u3xzvBxfKT7ef3K1ezs2w0Q+yCVyAWGTDj66A73yj4/Hi+eQAWE3qNNnij4MdE&#13;&#10;WFWXFyUWOkz+3Yz71DAy8bFABW1KfcF5rFvjMC5CbzzNvsPgMJEcGq4HnMjcWX6bZTl32Hn60GJv&#13;&#10;nlpTH/cnp6DbHoVe79JWvkxvdsTN69e8lkpdX82bJZXHJbBk5vR3AWcGyg8VBTuEk9eRWdI58SQF&#13;&#10;d7kQwM4LUkpgB2qyXNwDr0r+H6T6BQAA//8DAFBLAQItABQABgAIAAAAIQC2gziS/gAAAOEBAAAT&#13;&#10;AAAAAAAAAAAAAAAAAAAAAABbQ29udGVudF9UeXBlc10ueG1sUEsBAi0AFAAGAAgAAAAhADj9If/W&#13;&#10;AAAAlAEAAAsAAAAAAAAAAAAAAAAALwEAAF9yZWxzLy5yZWxzUEsBAi0AFAAGAAgAAAAhAPsmRPJ8&#13;&#10;AgAA6AQAAA4AAAAAAAAAAAAAAAAALgIAAGRycy9lMm9Eb2MueG1sUEsBAi0AFAAGAAgAAAAhAByM&#13;&#10;dXrjAAAAEAEAAA8AAAAAAAAAAAAAAAAA1gQAAGRycy9kb3ducmV2LnhtbFBLBQYAAAAABAAEAPMA&#13;&#10;AADmBQAAAAA=&#13;&#10;" fillcolor="#f2f2f2" stroked="f" strokeweight="1pt">
                <v:textbox inset="4mm,1mm,7mm">
                  <w:txbxContent>
                    <w:p w14:paraId="45983A64" w14:textId="77777777" w:rsidR="00DA67DD" w:rsidRPr="00457493" w:rsidRDefault="00DA67DD" w:rsidP="00DA67DD">
                      <w:pPr>
                        <w:ind w:left="-142" w:right="-272"/>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Taxonomy-aligned activities are expressed as a share of:</w:t>
                      </w:r>
                    </w:p>
                    <w:p w14:paraId="7C04D668" w14:textId="77777777" w:rsidR="00DA67DD" w:rsidRPr="00457493" w:rsidRDefault="00DA67DD" w:rsidP="00DA67DD">
                      <w:pPr>
                        <w:pStyle w:val="Paragraphedeliste"/>
                        <w:numPr>
                          <w:ilvl w:val="0"/>
                          <w:numId w:val="20"/>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 xml:space="preserve"> </w:t>
                      </w:r>
                      <w:r w:rsidRPr="00457493">
                        <w:rPr>
                          <w:rFonts w:asciiTheme="minorHAnsi" w:hAnsiTheme="minorHAnsi" w:cstheme="minorHAnsi"/>
                          <w:b/>
                          <w:bCs/>
                          <w:color w:val="000000"/>
                          <w:sz w:val="18"/>
                          <w:szCs w:val="21"/>
                        </w:rPr>
                        <w:t>turnover</w:t>
                      </w:r>
                      <w:r w:rsidRPr="00457493">
                        <w:rPr>
                          <w:rFonts w:asciiTheme="minorHAnsi" w:hAnsiTheme="minorHAnsi" w:cstheme="minorHAnsi"/>
                          <w:bCs/>
                          <w:color w:val="000000"/>
                          <w:sz w:val="18"/>
                          <w:szCs w:val="21"/>
                        </w:rPr>
                        <w:t xml:space="preserve"> reflecting the share of revenue from green activities of investee companies</w:t>
                      </w:r>
                    </w:p>
                    <w:p w14:paraId="60A249F1" w14:textId="77777777" w:rsidR="00DA67DD" w:rsidRPr="00457493" w:rsidRDefault="00DA67DD" w:rsidP="00DA67DD">
                      <w:pPr>
                        <w:pStyle w:val="Paragraphedeliste"/>
                        <w:numPr>
                          <w:ilvl w:val="0"/>
                          <w:numId w:val="20"/>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capital expenditure</w:t>
                      </w:r>
                      <w:r w:rsidRPr="00457493">
                        <w:rPr>
                          <w:rFonts w:asciiTheme="minorHAnsi" w:hAnsiTheme="minorHAnsi" w:cstheme="minorHAnsi"/>
                          <w:bCs/>
                          <w:color w:val="000000"/>
                          <w:sz w:val="18"/>
                          <w:szCs w:val="21"/>
                        </w:rPr>
                        <w:t xml:space="preserve"> (CapEx) showing the green investments made by investee companies, e.g. for a transition to a green economy. </w:t>
                      </w:r>
                    </w:p>
                    <w:p w14:paraId="4CFB8D9F" w14:textId="77777777" w:rsidR="00DA67DD" w:rsidRPr="00457493" w:rsidRDefault="00DA67DD" w:rsidP="00DA67DD">
                      <w:pPr>
                        <w:rPr>
                          <w:color w:val="000000"/>
                          <w:sz w:val="16"/>
                          <w:szCs w:val="20"/>
                        </w:rPr>
                      </w:pPr>
                      <w:r w:rsidRPr="00457493">
                        <w:rPr>
                          <w:rFonts w:asciiTheme="minorHAnsi" w:hAnsiTheme="minorHAnsi" w:cstheme="minorHAnsi"/>
                          <w:b/>
                          <w:bCs/>
                          <w:color w:val="000000"/>
                          <w:sz w:val="18"/>
                          <w:szCs w:val="21"/>
                        </w:rPr>
                        <w:t>operational expenditure</w:t>
                      </w:r>
                      <w:r w:rsidRPr="00457493">
                        <w:rPr>
                          <w:rFonts w:asciiTheme="minorHAnsi" w:hAnsiTheme="minorHAnsi" w:cstheme="minorHAnsi"/>
                          <w:bCs/>
                          <w:color w:val="000000"/>
                          <w:sz w:val="18"/>
                          <w:szCs w:val="21"/>
                        </w:rPr>
                        <w:t xml:space="preserve"> (OpEx) reflecting</w:t>
                      </w:r>
                      <w:r w:rsidRPr="00457493">
                        <w:rPr>
                          <w:rFonts w:asciiTheme="minorHAnsi" w:hAnsiTheme="minorHAnsi" w:cstheme="minorHAnsi"/>
                          <w:color w:val="000000"/>
                          <w:sz w:val="18"/>
                          <w:szCs w:val="21"/>
                        </w:rPr>
                        <w:t xml:space="preserve"> green operational activities o</w:t>
                      </w:r>
                      <w:r w:rsidRPr="00457493">
                        <w:rPr>
                          <w:rFonts w:asciiTheme="minorHAnsi" w:hAnsiTheme="minorHAnsi" w:cstheme="minorHAnsi"/>
                          <w:bCs/>
                          <w:color w:val="000000"/>
                          <w:sz w:val="18"/>
                          <w:szCs w:val="21"/>
                        </w:rPr>
                        <w:t>f investee companies.</w:t>
                      </w:r>
                    </w:p>
                  </w:txbxContent>
                </v:textbox>
                <w10:wrap type="square" anchorx="page" anchory="margin"/>
              </v:rect>
            </w:pict>
          </mc:Fallback>
        </mc:AlternateContent>
      </w:r>
      <w:r w:rsidRPr="0083292E">
        <w:rPr>
          <w:rFonts w:eastAsia="Source Sans Pro" w:cs="Times New Roman"/>
          <w:sz w:val="20"/>
          <w:szCs w:val="20"/>
        </w:rPr>
        <w:t>The Fund aims at investing all of its portfolio in companies meeting the environmental and / or social characteristics that it promotes. As a consequence, up to 100% and at least 90% of the committed capital of the fund will be used to meet the environmental and / or social characteristics promoted by the financial product in accordance with the binding elements of the investment strategy. The only investments included under ‘#2 Other’ are the placement of the available cash of the product, that will represent a maximum of 10% of the committed capital. There are no minimal environmental or social safeguards for such placements. The Fund does not and will not make any sustainable investments. The product’s allocation is therefore the following:</w:t>
      </w:r>
    </w:p>
    <w:p w14:paraId="1F499363" w14:textId="77777777" w:rsidR="00DA67DD" w:rsidRPr="0083292E" w:rsidRDefault="00DA67DD" w:rsidP="00DA67DD">
      <w:pPr>
        <w:rPr>
          <w:rFonts w:cs="Times New Roman"/>
          <w:sz w:val="20"/>
          <w:szCs w:val="20"/>
        </w:rPr>
      </w:pPr>
    </w:p>
    <w:p w14:paraId="64A7FF6D" w14:textId="77777777" w:rsidR="00DA67DD" w:rsidRPr="0083292E" w:rsidRDefault="00DA67DD" w:rsidP="00DA67DD">
      <w:pPr>
        <w:rPr>
          <w:rFonts w:cs="Times New Roman"/>
          <w:sz w:val="20"/>
          <w:szCs w:val="20"/>
        </w:rPr>
      </w:pPr>
      <w:r w:rsidRPr="0083292E">
        <w:rPr>
          <w:rFonts w:cs="Times New Roman"/>
          <w:noProof/>
          <w:sz w:val="20"/>
          <w:szCs w:val="20"/>
        </w:rPr>
        <w:drawing>
          <wp:inline distT="0" distB="0" distL="0" distR="0" wp14:anchorId="780AF864" wp14:editId="57E7FDAD">
            <wp:extent cx="5208411" cy="1935480"/>
            <wp:effectExtent l="0" t="0" r="1143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BFED6DC" w14:textId="77777777" w:rsidR="00DA67DD" w:rsidRDefault="00DA67DD" w:rsidP="00DA67DD">
      <w:pPr>
        <w:rPr>
          <w:rFonts w:cs="Times New Roman"/>
          <w:sz w:val="20"/>
          <w:szCs w:val="20"/>
        </w:rPr>
      </w:pPr>
    </w:p>
    <w:p w14:paraId="1A857CBB" w14:textId="77777777" w:rsidR="00DA67DD" w:rsidRDefault="00DA67DD" w:rsidP="00DA67DD">
      <w:pPr>
        <w:ind w:left="567"/>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0E0EDE5D" w14:textId="77777777" w:rsidR="00DA67DD" w:rsidRPr="00B434C2" w:rsidRDefault="00DA67DD" w:rsidP="00DA67DD">
      <w:pPr>
        <w:ind w:left="567"/>
        <w:rPr>
          <w:rFonts w:asciiTheme="minorHAnsi" w:hAnsiTheme="minorHAnsi" w:cstheme="minorHAnsi"/>
          <w:color w:val="000000"/>
          <w:sz w:val="8"/>
          <w:szCs w:val="8"/>
        </w:rPr>
      </w:pPr>
    </w:p>
    <w:p w14:paraId="6B7553C0" w14:textId="77777777" w:rsidR="00DA67DD" w:rsidRDefault="00DA67DD" w:rsidP="00DA67DD">
      <w:pPr>
        <w:ind w:left="567"/>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0F1ACEE9" w14:textId="77777777" w:rsidR="00DA67DD" w:rsidRPr="0083292E" w:rsidRDefault="00DA67DD" w:rsidP="00DA67DD">
      <w:pPr>
        <w:rPr>
          <w:rFonts w:cs="Times New Roman"/>
          <w:sz w:val="20"/>
          <w:szCs w:val="20"/>
        </w:rPr>
      </w:pPr>
    </w:p>
    <w:p w14:paraId="12807253" w14:textId="77777777" w:rsidR="00DA67DD" w:rsidRPr="0083292E" w:rsidRDefault="00DA67DD" w:rsidP="00DA67DD">
      <w:pPr>
        <w:ind w:left="567"/>
        <w:rPr>
          <w:rFonts w:cs="Times New Roman"/>
          <w:i/>
          <w:sz w:val="20"/>
          <w:szCs w:val="20"/>
        </w:rPr>
      </w:pPr>
      <w:r w:rsidRPr="0083292E">
        <w:rPr>
          <w:rFonts w:cs="Times New Roman"/>
          <w:i/>
          <w:sz w:val="20"/>
          <w:szCs w:val="20"/>
        </w:rPr>
        <w:t>How does the use of the derivatives attain the environmental or social characteristics promoted by the financial product?</w:t>
      </w:r>
    </w:p>
    <w:p w14:paraId="64AE9E09" w14:textId="77777777" w:rsidR="00DA67DD" w:rsidRPr="0083292E" w:rsidRDefault="00DA67DD" w:rsidP="00DA67DD">
      <w:pPr>
        <w:ind w:left="567"/>
        <w:rPr>
          <w:rFonts w:cs="Times New Roman"/>
          <w:i/>
          <w:sz w:val="20"/>
          <w:szCs w:val="20"/>
        </w:rPr>
      </w:pPr>
    </w:p>
    <w:p w14:paraId="19F1AED7" w14:textId="77777777" w:rsidR="00DA67DD" w:rsidRDefault="00DA67DD" w:rsidP="00DA67DD">
      <w:pPr>
        <w:ind w:left="567"/>
        <w:rPr>
          <w:rFonts w:cs="Times New Roman"/>
          <w:sz w:val="20"/>
          <w:szCs w:val="20"/>
        </w:rPr>
      </w:pPr>
      <w:r w:rsidRPr="0083292E">
        <w:rPr>
          <w:rFonts w:cs="Times New Roman"/>
          <w:sz w:val="20"/>
          <w:szCs w:val="20"/>
        </w:rPr>
        <w:t>The product does not use any derivatives.</w:t>
      </w:r>
    </w:p>
    <w:p w14:paraId="67CD3356" w14:textId="77777777" w:rsidR="00DA67DD" w:rsidRDefault="00DA67DD" w:rsidP="00DA67DD">
      <w:pPr>
        <w:ind w:left="567"/>
        <w:rPr>
          <w:rFonts w:cs="Times New Roman"/>
          <w:sz w:val="20"/>
          <w:szCs w:val="20"/>
        </w:rPr>
      </w:pPr>
    </w:p>
    <w:p w14:paraId="46376427" w14:textId="77777777" w:rsidR="00DA67DD" w:rsidRDefault="00DA67DD" w:rsidP="00DA67DD">
      <w:pPr>
        <w:rPr>
          <w:rFonts w:cs="Times New Roman"/>
          <w:sz w:val="20"/>
          <w:szCs w:val="20"/>
        </w:rPr>
      </w:pPr>
    </w:p>
    <w:p w14:paraId="5609F3F3" w14:textId="77777777" w:rsidR="00DA67DD" w:rsidRDefault="00DA67DD" w:rsidP="00DA67DD">
      <w:pPr>
        <w:rPr>
          <w:rFonts w:cs="Times New Roman"/>
          <w:sz w:val="20"/>
          <w:szCs w:val="20"/>
        </w:rPr>
      </w:pPr>
    </w:p>
    <w:p w14:paraId="56E08B91" w14:textId="77777777" w:rsidR="00DA67DD" w:rsidRDefault="00DA67DD" w:rsidP="00DA67DD">
      <w:pPr>
        <w:rPr>
          <w:rFonts w:cs="Times New Roman"/>
          <w:sz w:val="20"/>
          <w:szCs w:val="20"/>
        </w:rPr>
      </w:pPr>
    </w:p>
    <w:p w14:paraId="7F570ECA" w14:textId="77777777" w:rsidR="00DA67DD" w:rsidRDefault="00DA67DD" w:rsidP="00DA67DD">
      <w:pPr>
        <w:rPr>
          <w:rFonts w:cs="Times New Roman"/>
          <w:sz w:val="20"/>
          <w:szCs w:val="20"/>
        </w:rPr>
      </w:pPr>
    </w:p>
    <w:p w14:paraId="49DF68C6" w14:textId="77777777" w:rsidR="00DA67DD" w:rsidRDefault="00DA67DD" w:rsidP="00DA67DD">
      <w:pPr>
        <w:rPr>
          <w:rFonts w:cs="Times New Roman"/>
          <w:sz w:val="20"/>
          <w:szCs w:val="20"/>
        </w:rPr>
      </w:pPr>
    </w:p>
    <w:p w14:paraId="1AC3447B" w14:textId="77777777" w:rsidR="00DA67DD" w:rsidRDefault="00DA67DD" w:rsidP="00DA67DD">
      <w:pPr>
        <w:rPr>
          <w:rFonts w:cs="Times New Roman"/>
          <w:sz w:val="20"/>
          <w:szCs w:val="20"/>
        </w:rPr>
      </w:pPr>
    </w:p>
    <w:p w14:paraId="5026E046" w14:textId="77777777" w:rsidR="00DA67DD" w:rsidRDefault="00DA67DD" w:rsidP="00DA67DD">
      <w:pPr>
        <w:rPr>
          <w:rFonts w:cs="Times New Roman"/>
          <w:sz w:val="20"/>
          <w:szCs w:val="20"/>
        </w:rPr>
      </w:pPr>
    </w:p>
    <w:p w14:paraId="7E76C31B" w14:textId="77777777" w:rsidR="00DA67DD" w:rsidRDefault="00DA67DD" w:rsidP="00DA67DD">
      <w:pPr>
        <w:rPr>
          <w:rFonts w:cs="Times New Roman"/>
          <w:sz w:val="20"/>
          <w:szCs w:val="20"/>
        </w:rPr>
      </w:pPr>
    </w:p>
    <w:p w14:paraId="2D27CF4E" w14:textId="77777777" w:rsidR="00DA67DD" w:rsidRDefault="00DA67DD" w:rsidP="00DA67DD">
      <w:pPr>
        <w:rPr>
          <w:rFonts w:cs="Times New Roman"/>
          <w:sz w:val="20"/>
          <w:szCs w:val="20"/>
        </w:rPr>
      </w:pPr>
    </w:p>
    <w:p w14:paraId="65B77291" w14:textId="7A5A8A8F" w:rsidR="00DA67DD" w:rsidRPr="0083292E" w:rsidRDefault="00DA67DD" w:rsidP="00DA67DD">
      <w:pPr>
        <w:rPr>
          <w:rFonts w:cs="Times New Roman"/>
          <w:sz w:val="20"/>
          <w:szCs w:val="20"/>
        </w:rPr>
      </w:pPr>
    </w:p>
    <w:p w14:paraId="49B31BF6" w14:textId="7E827D0B" w:rsidR="00DA67DD" w:rsidRPr="0083292E" w:rsidRDefault="00C82A8C" w:rsidP="00DA67DD">
      <w:pPr>
        <w:spacing w:after="200"/>
        <w:rPr>
          <w:rFonts w:cs="Times New Roman"/>
          <w:sz w:val="20"/>
          <w:szCs w:val="20"/>
        </w:rPr>
      </w:pPr>
      <w:r w:rsidRPr="003A1C01">
        <w:rPr>
          <w:rFonts w:ascii="Calibri" w:hAnsi="Calibri"/>
          <w:noProof/>
          <w:szCs w:val="24"/>
        </w:rPr>
        <mc:AlternateContent>
          <mc:Choice Requires="wps">
            <w:drawing>
              <wp:anchor distT="0" distB="0" distL="114300" distR="114300" simplePos="0" relativeHeight="251659264" behindDoc="0" locked="0" layoutInCell="1" allowOverlap="1" wp14:anchorId="79FBBEAB" wp14:editId="7B4C6675">
                <wp:simplePos x="0" y="0"/>
                <wp:positionH relativeFrom="page">
                  <wp:posOffset>45085</wp:posOffset>
                </wp:positionH>
                <wp:positionV relativeFrom="margin">
                  <wp:posOffset>312208</wp:posOffset>
                </wp:positionV>
                <wp:extent cx="1049655" cy="5960110"/>
                <wp:effectExtent l="0" t="0" r="4445" b="0"/>
                <wp:wrapSquare wrapText="bothSides"/>
                <wp:docPr id="1834946698" name="Rectangle 1834946698"/>
                <wp:cNvGraphicFramePr/>
                <a:graphic xmlns:a="http://schemas.openxmlformats.org/drawingml/2006/main">
                  <a:graphicData uri="http://schemas.microsoft.com/office/word/2010/wordprocessingShape">
                    <wps:wsp>
                      <wps:cNvSpPr/>
                      <wps:spPr>
                        <a:xfrm>
                          <a:off x="0" y="0"/>
                          <a:ext cx="1049655" cy="5960110"/>
                        </a:xfrm>
                        <a:prstGeom prst="rect">
                          <a:avLst/>
                        </a:prstGeom>
                        <a:solidFill>
                          <a:sysClr val="window" lastClr="FFFFFF">
                            <a:lumMod val="95000"/>
                          </a:sysClr>
                        </a:solidFill>
                        <a:ln w="12700" cap="flat" cmpd="sng" algn="ctr">
                          <a:noFill/>
                          <a:prstDash val="solid"/>
                          <a:miter lim="800000"/>
                        </a:ln>
                        <a:effectLst/>
                      </wps:spPr>
                      <wps:txbx>
                        <w:txbxContent>
                          <w:p w14:paraId="47FE2E3E" w14:textId="77777777" w:rsidR="00DA67DD" w:rsidRDefault="00DA67DD" w:rsidP="00DA67DD">
                            <w:pPr>
                              <w:ind w:left="-142" w:right="-139"/>
                              <w:jc w:val="left"/>
                              <w:rPr>
                                <w:rFonts w:asciiTheme="minorHAnsi" w:hAnsiTheme="minorHAnsi" w:cstheme="minorHAnsi"/>
                                <w:color w:val="000000"/>
                                <w:sz w:val="18"/>
                                <w:szCs w:val="21"/>
                              </w:rPr>
                            </w:pPr>
                            <w:r>
                              <w:rPr>
                                <w:rFonts w:asciiTheme="minorHAnsi" w:hAnsiTheme="minorHAnsi" w:cstheme="minorHAnsi"/>
                                <w:color w:val="000000"/>
                                <w:sz w:val="20"/>
                              </w:rPr>
                              <w:t>T</w:t>
                            </w:r>
                            <w:r w:rsidRPr="00457493">
                              <w:rPr>
                                <w:rFonts w:asciiTheme="minorHAnsi" w:hAnsiTheme="minorHAnsi" w:cstheme="minorHAnsi"/>
                                <w:color w:val="000000"/>
                                <w:sz w:val="18"/>
                                <w:szCs w:val="21"/>
                              </w:rPr>
                              <w:t xml:space="preserve">o comply with the EU Taxonomy, the criteria for </w:t>
                            </w:r>
                            <w:r w:rsidRPr="00457493">
                              <w:rPr>
                                <w:rFonts w:asciiTheme="minorHAnsi" w:hAnsiTheme="minorHAnsi" w:cstheme="minorHAnsi"/>
                                <w:b/>
                                <w:bCs/>
                                <w:color w:val="000000"/>
                                <w:sz w:val="18"/>
                                <w:szCs w:val="21"/>
                              </w:rPr>
                              <w:t>fossil gas</w:t>
                            </w:r>
                            <w:r w:rsidRPr="00457493">
                              <w:rPr>
                                <w:rFonts w:asciiTheme="minorHAnsi" w:hAnsiTheme="minorHAnsi" w:cstheme="minorHAnsi"/>
                                <w:color w:val="000000"/>
                                <w:sz w:val="18"/>
                                <w:szCs w:val="21"/>
                              </w:rPr>
                              <w:t xml:space="preserve"> include limitations on emissions and switching to renewable power or low-carbon fuels by the end of 2035. For </w:t>
                            </w:r>
                            <w:r w:rsidRPr="00457493">
                              <w:rPr>
                                <w:rFonts w:asciiTheme="minorHAnsi" w:hAnsiTheme="minorHAnsi" w:cstheme="minorHAnsi"/>
                                <w:b/>
                                <w:bCs/>
                                <w:color w:val="000000"/>
                                <w:sz w:val="18"/>
                                <w:szCs w:val="21"/>
                              </w:rPr>
                              <w:t>nuclear energy</w:t>
                            </w:r>
                            <w:r w:rsidRPr="00457493">
                              <w:rPr>
                                <w:rFonts w:asciiTheme="minorHAnsi" w:hAnsiTheme="minorHAnsi" w:cstheme="minorHAnsi"/>
                                <w:color w:val="000000"/>
                                <w:sz w:val="18"/>
                                <w:szCs w:val="21"/>
                              </w:rPr>
                              <w:t>, the criteria include comprehensive safety and waste management rules.</w:t>
                            </w:r>
                          </w:p>
                          <w:p w14:paraId="7D40D830" w14:textId="77777777" w:rsidR="00DA67DD" w:rsidRDefault="00DA67DD" w:rsidP="00DA67DD">
                            <w:pPr>
                              <w:ind w:left="-142" w:right="-139"/>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 xml:space="preserve">Enabling activities </w:t>
                            </w:r>
                            <w:r w:rsidRPr="00457493">
                              <w:rPr>
                                <w:rFonts w:asciiTheme="minorHAnsi" w:hAnsiTheme="minorHAnsi" w:cstheme="minorHAnsi"/>
                                <w:bCs/>
                                <w:color w:val="000000"/>
                                <w:sz w:val="18"/>
                                <w:szCs w:val="21"/>
                              </w:rPr>
                              <w:t xml:space="preserve">directly enable other activities to </w:t>
                            </w:r>
                            <w:r w:rsidRPr="00457493">
                              <w:rPr>
                                <w:rFonts w:asciiTheme="minorHAnsi" w:hAnsiTheme="minorHAnsi" w:cstheme="minorHAnsi"/>
                                <w:bCs/>
                                <w:color w:val="000000"/>
                                <w:sz w:val="16"/>
                                <w:szCs w:val="20"/>
                              </w:rPr>
                              <w:t xml:space="preserve">make a </w:t>
                            </w:r>
                            <w:r w:rsidRPr="00457493">
                              <w:rPr>
                                <w:rFonts w:asciiTheme="minorHAnsi" w:hAnsiTheme="minorHAnsi" w:cstheme="minorHAnsi"/>
                                <w:bCs/>
                                <w:color w:val="000000"/>
                                <w:sz w:val="18"/>
                                <w:szCs w:val="21"/>
                              </w:rPr>
                              <w:t>substantial contribution to an environmental objective.</w:t>
                            </w:r>
                          </w:p>
                          <w:p w14:paraId="3BB29735" w14:textId="77777777" w:rsidR="00DA67DD" w:rsidRPr="00571B17" w:rsidRDefault="00DA67DD" w:rsidP="00DA67DD">
                            <w:pPr>
                              <w:ind w:left="-142" w:right="-139"/>
                              <w:jc w:val="left"/>
                              <w:rPr>
                                <w:rFonts w:asciiTheme="minorHAnsi" w:hAnsiTheme="minorHAnsi" w:cstheme="minorHAnsi"/>
                                <w:bCs/>
                                <w:color w:val="000000"/>
                                <w:sz w:val="18"/>
                                <w:szCs w:val="21"/>
                                <w:highlight w:val="yellow"/>
                              </w:rPr>
                            </w:pPr>
                            <w:r w:rsidRPr="00571B17">
                              <w:rPr>
                                <w:rFonts w:asciiTheme="minorHAnsi" w:hAnsiTheme="minorHAnsi" w:cstheme="minorHAnsi"/>
                                <w:b/>
                                <w:bCs/>
                                <w:color w:val="000000"/>
                                <w:sz w:val="18"/>
                                <w:szCs w:val="21"/>
                              </w:rPr>
                              <w:t xml:space="preserve">Transitional activities are </w:t>
                            </w:r>
                            <w:r w:rsidRPr="00571B17">
                              <w:rPr>
                                <w:rFonts w:asciiTheme="minorHAnsi" w:hAnsiTheme="minorHAnsi" w:cstheme="minorHAnsi"/>
                                <w:bCs/>
                                <w:color w:val="000000"/>
                                <w:sz w:val="18"/>
                                <w:szCs w:val="21"/>
                              </w:rPr>
                              <w:t>activities for which low-carbon alternatives are not yet available and among others have greenhouse gas emission levels  corresponding to the best performance.</w:t>
                            </w:r>
                          </w:p>
                          <w:p w14:paraId="4D5FAA23" w14:textId="77777777" w:rsidR="00DA67DD" w:rsidRPr="00571B17" w:rsidRDefault="00DA67DD" w:rsidP="00DA67DD">
                            <w:pPr>
                              <w:ind w:left="-142" w:right="-139"/>
                              <w:jc w:val="left"/>
                              <w:rPr>
                                <w:rFonts w:asciiTheme="minorHAnsi" w:hAnsiTheme="minorHAnsi" w:cstheme="minorHAnsi"/>
                                <w:bCs/>
                                <w:color w:val="000000"/>
                                <w:sz w:val="18"/>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BBEAB" id="Rectangle 1834946698" o:spid="_x0000_s1034" style="position:absolute;left:0;text-align:left;margin-left:3.55pt;margin-top:24.6pt;width:82.65pt;height:46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OpGfAIAAOgEAAAOAAAAZHJzL2Uyb0RvYy54bWysVMtuEzEU3SPxD5b3dGZCEtqokypqFYRU&#13;&#10;2kot6trxeBJLfmE7mQlfz7EnDyisEFk49+X7OD53rm96rchO+CCtqWl1UVIiDLeNNOuafntZfrik&#13;&#10;JERmGqasETXdi0Bv5u/fXXduJkZ2Y1UjPEESE2adq+kmRjcrisA3QrNwYZ0wcLbWaxah+nXReNYh&#13;&#10;u1bFqCynRWd947zlIgRY7wYnnef8bSt4fGzbICJRNUVvMZ8+n6t0FvNrNlt75jaSH9pg/9CFZtKg&#13;&#10;6CnVHYuMbL38I5WW3Ntg23jBrS5s20ou8gyYpirfTPO8YU7kWQBOcCeYwv9Lyx92z+7JA4bOhVmA&#13;&#10;mKboW6/TP/ojfQZrfwJL9JFwGKtyfDWdTCjh8E2upmVVZTiL83XnQ/wsrCZJqKnHa2SQ2O4+RJRE&#13;&#10;6DEkVQtWyWYplcrKPtwqT3YMD4f3bmxHiWIhwljTZf7lXGqrv9pmiLualOWxh5Dv5xq/5VWGdGh+&#13;&#10;9AmRhDNQrlUsQtSuqWkwa0qYWoPLPPpcwNjUUuZJavaOhc1QLacdCKRlBIuV1DW9RAunJpRJo4jM&#13;&#10;w8PIZ5iTFPtVTyQKX6ZEybKyzf7JE28HqgbHlxJl7zH6E/PgJtrGvsVHHK2ymMUeJEo21v/4mz3F&#13;&#10;gzLwUtKB65jz+5Z5AUS/GJCpGo9TzyRm7eM0Kz4rowm2DK5V1saTTyMoZqtvLd6lwm47nkVYfVRH&#13;&#10;sfVWv2IxF6kuXMxwVB8wPSi3cdhCrDYXi0UOw0o4Fu/Ns+MpecIuQf7SvzLvDiSK4N+DPW4Gm73h&#13;&#10;0hCbbhq72Ebbyky0M7JgRFKwTpkbh9VP+/qrnqPOH6j5TwAAAP//AwBQSwMEFAAGAAgAAAAhANee&#13;&#10;DXvhAAAADQEAAA8AAABkcnMvZG93bnJldi54bWxMT8tOwzAQvCPxD9YicaNOogqnaTYVpUJUAg4U&#13;&#10;uLvxkkT1I4rdJPw97gkuK43msTPlZjaajTT4zlmEdJEAI1s71dkG4fPj6S4H5oO0SmpnCeGHPGyq&#13;&#10;66tSFspN9p3GQ2hYDLG+kAhtCH3Bua9bMtIvXE82ct9uMDJEODRcDXKK4UbzLEnuuZGdjR9a2dNj&#13;&#10;S/XpcDYI3f6Uqu1r2Ivn6U2PcvfyNW8F4u3NvFvH87AGFmgOfw64bIj9oYrFju5slWcaQaRRiLBc&#13;&#10;ZcAutMiWwI4Iq1zkwKuS/19R/QIAAP//AwBQSwECLQAUAAYACAAAACEAtoM4kv4AAADhAQAAEwAA&#13;&#10;AAAAAAAAAAAAAAAAAAAAW0NvbnRlbnRfVHlwZXNdLnhtbFBLAQItABQABgAIAAAAIQA4/SH/1gAA&#13;&#10;AJQBAAALAAAAAAAAAAAAAAAAAC8BAABfcmVscy8ucmVsc1BLAQItABQABgAIAAAAIQAhOOpGfAIA&#13;&#10;AOgEAAAOAAAAAAAAAAAAAAAAAC4CAABkcnMvZTJvRG9jLnhtbFBLAQItABQABgAIAAAAIQDXng17&#13;&#10;4QAAAA0BAAAPAAAAAAAAAAAAAAAAANYEAABkcnMvZG93bnJldi54bWxQSwUGAAAAAAQABADzAAAA&#13;&#10;5AUAAAAA&#13;&#10;" fillcolor="#f2f2f2" stroked="f" strokeweight="1pt">
                <v:textbox inset="4mm,1mm,7mm">
                  <w:txbxContent>
                    <w:p w14:paraId="47FE2E3E" w14:textId="77777777" w:rsidR="00DA67DD" w:rsidRDefault="00DA67DD" w:rsidP="00DA67DD">
                      <w:pPr>
                        <w:ind w:left="-142" w:right="-139"/>
                        <w:jc w:val="left"/>
                        <w:rPr>
                          <w:rFonts w:asciiTheme="minorHAnsi" w:hAnsiTheme="minorHAnsi" w:cstheme="minorHAnsi"/>
                          <w:color w:val="000000"/>
                          <w:sz w:val="18"/>
                          <w:szCs w:val="21"/>
                        </w:rPr>
                      </w:pPr>
                      <w:r>
                        <w:rPr>
                          <w:rFonts w:asciiTheme="minorHAnsi" w:hAnsiTheme="minorHAnsi" w:cstheme="minorHAnsi"/>
                          <w:color w:val="000000"/>
                          <w:sz w:val="20"/>
                        </w:rPr>
                        <w:t>T</w:t>
                      </w:r>
                      <w:r w:rsidRPr="00457493">
                        <w:rPr>
                          <w:rFonts w:asciiTheme="minorHAnsi" w:hAnsiTheme="minorHAnsi" w:cstheme="minorHAnsi"/>
                          <w:color w:val="000000"/>
                          <w:sz w:val="18"/>
                          <w:szCs w:val="21"/>
                        </w:rPr>
                        <w:t xml:space="preserve">o comply with the EU Taxonomy, the criteria for </w:t>
                      </w:r>
                      <w:r w:rsidRPr="00457493">
                        <w:rPr>
                          <w:rFonts w:asciiTheme="minorHAnsi" w:hAnsiTheme="minorHAnsi" w:cstheme="minorHAnsi"/>
                          <w:b/>
                          <w:bCs/>
                          <w:color w:val="000000"/>
                          <w:sz w:val="18"/>
                          <w:szCs w:val="21"/>
                        </w:rPr>
                        <w:t>fossil gas</w:t>
                      </w:r>
                      <w:r w:rsidRPr="00457493">
                        <w:rPr>
                          <w:rFonts w:asciiTheme="minorHAnsi" w:hAnsiTheme="minorHAnsi" w:cstheme="minorHAnsi"/>
                          <w:color w:val="000000"/>
                          <w:sz w:val="18"/>
                          <w:szCs w:val="21"/>
                        </w:rPr>
                        <w:t xml:space="preserve"> include limitations on emissions and switching to renewable power or low-carbon fuels by the end of 2035. For </w:t>
                      </w:r>
                      <w:r w:rsidRPr="00457493">
                        <w:rPr>
                          <w:rFonts w:asciiTheme="minorHAnsi" w:hAnsiTheme="minorHAnsi" w:cstheme="minorHAnsi"/>
                          <w:b/>
                          <w:bCs/>
                          <w:color w:val="000000"/>
                          <w:sz w:val="18"/>
                          <w:szCs w:val="21"/>
                        </w:rPr>
                        <w:t>nuclear energy</w:t>
                      </w:r>
                      <w:r w:rsidRPr="00457493">
                        <w:rPr>
                          <w:rFonts w:asciiTheme="minorHAnsi" w:hAnsiTheme="minorHAnsi" w:cstheme="minorHAnsi"/>
                          <w:color w:val="000000"/>
                          <w:sz w:val="18"/>
                          <w:szCs w:val="21"/>
                        </w:rPr>
                        <w:t>, the criteria include comprehensive safety and waste management rules.</w:t>
                      </w:r>
                    </w:p>
                    <w:p w14:paraId="7D40D830" w14:textId="77777777" w:rsidR="00DA67DD" w:rsidRDefault="00DA67DD" w:rsidP="00DA67DD">
                      <w:pPr>
                        <w:ind w:left="-142" w:right="-139"/>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 xml:space="preserve">Enabling activities </w:t>
                      </w:r>
                      <w:r w:rsidRPr="00457493">
                        <w:rPr>
                          <w:rFonts w:asciiTheme="minorHAnsi" w:hAnsiTheme="minorHAnsi" w:cstheme="minorHAnsi"/>
                          <w:bCs/>
                          <w:color w:val="000000"/>
                          <w:sz w:val="18"/>
                          <w:szCs w:val="21"/>
                        </w:rPr>
                        <w:t xml:space="preserve">directly enable other activities to </w:t>
                      </w:r>
                      <w:r w:rsidRPr="00457493">
                        <w:rPr>
                          <w:rFonts w:asciiTheme="minorHAnsi" w:hAnsiTheme="minorHAnsi" w:cstheme="minorHAnsi"/>
                          <w:bCs/>
                          <w:color w:val="000000"/>
                          <w:sz w:val="16"/>
                          <w:szCs w:val="20"/>
                        </w:rPr>
                        <w:t xml:space="preserve">make a </w:t>
                      </w:r>
                      <w:r w:rsidRPr="00457493">
                        <w:rPr>
                          <w:rFonts w:asciiTheme="minorHAnsi" w:hAnsiTheme="minorHAnsi" w:cstheme="minorHAnsi"/>
                          <w:bCs/>
                          <w:color w:val="000000"/>
                          <w:sz w:val="18"/>
                          <w:szCs w:val="21"/>
                        </w:rPr>
                        <w:t>substantial contribution to an environmental objective.</w:t>
                      </w:r>
                    </w:p>
                    <w:p w14:paraId="3BB29735" w14:textId="77777777" w:rsidR="00DA67DD" w:rsidRPr="00571B17" w:rsidRDefault="00DA67DD" w:rsidP="00DA67DD">
                      <w:pPr>
                        <w:ind w:left="-142" w:right="-139"/>
                        <w:jc w:val="left"/>
                        <w:rPr>
                          <w:rFonts w:asciiTheme="minorHAnsi" w:hAnsiTheme="minorHAnsi" w:cstheme="minorHAnsi"/>
                          <w:bCs/>
                          <w:color w:val="000000"/>
                          <w:sz w:val="18"/>
                          <w:szCs w:val="21"/>
                          <w:highlight w:val="yellow"/>
                        </w:rPr>
                      </w:pPr>
                      <w:r w:rsidRPr="00571B17">
                        <w:rPr>
                          <w:rFonts w:asciiTheme="minorHAnsi" w:hAnsiTheme="minorHAnsi" w:cstheme="minorHAnsi"/>
                          <w:b/>
                          <w:bCs/>
                          <w:color w:val="000000"/>
                          <w:sz w:val="18"/>
                          <w:szCs w:val="21"/>
                        </w:rPr>
                        <w:t xml:space="preserve">Transitional activities are </w:t>
                      </w:r>
                      <w:r w:rsidRPr="00571B17">
                        <w:rPr>
                          <w:rFonts w:asciiTheme="minorHAnsi" w:hAnsiTheme="minorHAnsi" w:cstheme="minorHAnsi"/>
                          <w:bCs/>
                          <w:color w:val="000000"/>
                          <w:sz w:val="18"/>
                          <w:szCs w:val="21"/>
                        </w:rPr>
                        <w:t xml:space="preserve">activities for which low-carbon alternatives are not yet available and among others have greenhouse gas emission </w:t>
                      </w:r>
                      <w:proofErr w:type="gramStart"/>
                      <w:r w:rsidRPr="00571B17">
                        <w:rPr>
                          <w:rFonts w:asciiTheme="minorHAnsi" w:hAnsiTheme="minorHAnsi" w:cstheme="minorHAnsi"/>
                          <w:bCs/>
                          <w:color w:val="000000"/>
                          <w:sz w:val="18"/>
                          <w:szCs w:val="21"/>
                        </w:rPr>
                        <w:t>levels  corresponding</w:t>
                      </w:r>
                      <w:proofErr w:type="gramEnd"/>
                      <w:r w:rsidRPr="00571B17">
                        <w:rPr>
                          <w:rFonts w:asciiTheme="minorHAnsi" w:hAnsiTheme="minorHAnsi" w:cstheme="minorHAnsi"/>
                          <w:bCs/>
                          <w:color w:val="000000"/>
                          <w:sz w:val="18"/>
                          <w:szCs w:val="21"/>
                        </w:rPr>
                        <w:t xml:space="preserve"> to the best performance.</w:t>
                      </w:r>
                    </w:p>
                    <w:p w14:paraId="4D5FAA23" w14:textId="77777777" w:rsidR="00DA67DD" w:rsidRPr="00571B17" w:rsidRDefault="00DA67DD" w:rsidP="00DA67DD">
                      <w:pPr>
                        <w:ind w:left="-142" w:right="-139"/>
                        <w:jc w:val="left"/>
                        <w:rPr>
                          <w:rFonts w:asciiTheme="minorHAnsi" w:hAnsiTheme="minorHAnsi" w:cstheme="minorHAnsi"/>
                          <w:bCs/>
                          <w:color w:val="000000"/>
                          <w:sz w:val="18"/>
                          <w:szCs w:val="21"/>
                        </w:rPr>
                      </w:pPr>
                    </w:p>
                  </w:txbxContent>
                </v:textbox>
                <w10:wrap type="square" anchorx="page" anchory="margin"/>
              </v:rect>
            </w:pict>
          </mc:Fallback>
        </mc:AlternateContent>
      </w:r>
      <w:r w:rsidR="00DA67DD" w:rsidRPr="0083292E">
        <w:rPr>
          <w:rFonts w:cs="Times New Roman"/>
          <w:noProof/>
          <w:sz w:val="20"/>
          <w:szCs w:val="20"/>
        </w:rPr>
        <w:drawing>
          <wp:anchor distT="0" distB="0" distL="114300" distR="114300" simplePos="0" relativeHeight="251663360" behindDoc="1" locked="0" layoutInCell="1" hidden="0" allowOverlap="1" wp14:anchorId="18792859" wp14:editId="399C7B97">
            <wp:simplePos x="0" y="0"/>
            <wp:positionH relativeFrom="column">
              <wp:posOffset>220557</wp:posOffset>
            </wp:positionH>
            <wp:positionV relativeFrom="paragraph">
              <wp:posOffset>161925</wp:posOffset>
            </wp:positionV>
            <wp:extent cx="523875" cy="485775"/>
            <wp:effectExtent l="0" t="0" r="0" b="0"/>
            <wp:wrapNone/>
            <wp:docPr id="1985674171" name="Image 1985674171" descr="Une image contenant horlo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horloge&#10;&#10;Description générée automatiquement"/>
                    <pic:cNvPicPr preferRelativeResize="0"/>
                  </pic:nvPicPr>
                  <pic:blipFill>
                    <a:blip r:embed="rId16"/>
                    <a:srcRect/>
                    <a:stretch>
                      <a:fillRect/>
                    </a:stretch>
                  </pic:blipFill>
                  <pic:spPr>
                    <a:xfrm>
                      <a:off x="0" y="0"/>
                      <a:ext cx="523875" cy="485775"/>
                    </a:xfrm>
                    <a:prstGeom prst="rect">
                      <a:avLst/>
                    </a:prstGeom>
                    <a:ln/>
                  </pic:spPr>
                </pic:pic>
              </a:graphicData>
            </a:graphic>
          </wp:anchor>
        </w:drawing>
      </w:r>
    </w:p>
    <w:p w14:paraId="77448CCC" w14:textId="5094E51B" w:rsidR="00DA67DD" w:rsidRPr="0083292E" w:rsidRDefault="00DA67DD" w:rsidP="00DA67DD">
      <w:pPr>
        <w:numPr>
          <w:ilvl w:val="3"/>
          <w:numId w:val="12"/>
        </w:numPr>
        <w:spacing w:after="200"/>
        <w:ind w:left="1710"/>
        <w:rPr>
          <w:rFonts w:cs="Times New Roman"/>
          <w:sz w:val="20"/>
          <w:szCs w:val="20"/>
        </w:rPr>
      </w:pPr>
      <w:r w:rsidRPr="0083292E">
        <w:rPr>
          <w:rFonts w:cs="Times New Roman"/>
          <w:b/>
          <w:sz w:val="20"/>
          <w:szCs w:val="20"/>
        </w:rPr>
        <w:t>To what minimum extent are sustainable investments with an environmental objective aligned with the EU Taxonomy?</w:t>
      </w:r>
    </w:p>
    <w:p w14:paraId="1BDA658C" w14:textId="77777777" w:rsidR="00DA67DD" w:rsidRDefault="00DA67DD" w:rsidP="00DA67DD">
      <w:pPr>
        <w:ind w:left="709"/>
        <w:rPr>
          <w:rFonts w:cs="Times New Roman"/>
          <w:sz w:val="20"/>
          <w:szCs w:val="20"/>
        </w:rPr>
      </w:pPr>
      <w:r w:rsidRPr="0083292E">
        <w:rPr>
          <w:rFonts w:cs="Times New Roman"/>
          <w:sz w:val="20"/>
          <w:szCs w:val="20"/>
        </w:rPr>
        <w:t>While the Fund complies with the provisions of Article 8 of SFDR, it does not have a sustainable investment pocket with a social or environmental objective within the meaning of SFDR. The Fund does not have a Taxonomy alignment objective, as defined in the ERU Taxonomy.</w:t>
      </w:r>
    </w:p>
    <w:p w14:paraId="24767404" w14:textId="77777777" w:rsidR="00DA67DD" w:rsidRDefault="00DA67DD" w:rsidP="00DA67DD">
      <w:pPr>
        <w:rPr>
          <w:rFonts w:cs="Times New Roman"/>
          <w:sz w:val="20"/>
          <w:szCs w:val="20"/>
        </w:rPr>
      </w:pPr>
    </w:p>
    <w:p w14:paraId="6F4D9438" w14:textId="77777777" w:rsidR="00DA67DD" w:rsidRPr="00487A38" w:rsidRDefault="00DA67DD" w:rsidP="00DA67DD">
      <w:pPr>
        <w:ind w:left="567"/>
        <w:rPr>
          <w:rFonts w:ascii="Source Sans Pro" w:hAnsi="Source Sans Pro"/>
          <w:i/>
          <w:iCs/>
        </w:rPr>
      </w:pPr>
      <w:r w:rsidRPr="00487A38">
        <w:rPr>
          <w:rFonts w:ascii="Source Sans Pro" w:hAnsi="Source Sans Pro"/>
          <w:i/>
          <w:iCs/>
        </w:rPr>
        <w:t xml:space="preserve">Does the financial product invest in fossil gas and/or nuclear energy related activities that comply with the EU Taxonomy ? </w:t>
      </w:r>
    </w:p>
    <w:p w14:paraId="0E3C0F39" w14:textId="77777777" w:rsidR="00DA67DD" w:rsidRDefault="00DA67DD" w:rsidP="00DA67DD">
      <w:pPr>
        <w:pStyle w:val="NormalWeb"/>
        <w:spacing w:line="360" w:lineRule="auto"/>
        <w:ind w:left="567"/>
        <w:rPr>
          <w:rFonts w:ascii="Source Sans Pro" w:hAnsi="Source Sans Pro"/>
          <w:sz w:val="22"/>
          <w:szCs w:val="22"/>
          <w:lang w:val="en-GB"/>
        </w:rPr>
      </w:pP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Yes</w:t>
      </w:r>
      <w:r w:rsidRPr="00487A38">
        <w:rPr>
          <w:rFonts w:ascii="Source Sans Pro" w:hAnsi="Source Sans Pro"/>
          <w:sz w:val="22"/>
          <w:szCs w:val="22"/>
          <w:lang w:val="en-GB"/>
        </w:rPr>
        <w:br/>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 xml:space="preserve">In fossil gas </w:t>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In nuclear energy</w:t>
      </w:r>
      <w:r w:rsidRPr="00487A38">
        <w:rPr>
          <w:rFonts w:ascii="Source Sans Pro" w:hAnsi="Source Sans Pro"/>
          <w:sz w:val="22"/>
          <w:szCs w:val="22"/>
          <w:lang w:val="en-GB"/>
        </w:rPr>
        <w:br/>
        <w:t xml:space="preserve"> </w:t>
      </w:r>
      <w:r w:rsidRPr="00487A38">
        <w:rPr>
          <w:rFonts w:ascii="Segoe UI Symbol" w:hAnsi="Segoe UI Symbol" w:cs="Segoe UI Symbol"/>
          <w:sz w:val="22"/>
          <w:szCs w:val="22"/>
          <w:lang w:val="en-GB"/>
        </w:rPr>
        <w:t>☒</w:t>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 xml:space="preserve">No </w:t>
      </w:r>
    </w:p>
    <w:tbl>
      <w:tblPr>
        <w:tblStyle w:val="PlainTable11"/>
        <w:tblpPr w:leftFromText="180" w:rightFromText="180" w:vertAnchor="text" w:horzAnchor="margin" w:tblpXSpec="right" w:tblpY="-6"/>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ayout w:type="fixed"/>
        <w:tblLook w:val="04A0" w:firstRow="1" w:lastRow="0" w:firstColumn="1" w:lastColumn="0" w:noHBand="0" w:noVBand="1"/>
      </w:tblPr>
      <w:tblGrid>
        <w:gridCol w:w="3686"/>
        <w:gridCol w:w="3974"/>
      </w:tblGrid>
      <w:tr w:rsidR="00DA67DD" w14:paraId="507ECF9F" w14:textId="77777777" w:rsidTr="00491FD5">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hideMark/>
          </w:tcPr>
          <w:p w14:paraId="3120C052" w14:textId="77777777" w:rsidR="00DA67DD" w:rsidRPr="00457493" w:rsidRDefault="00DA67DD" w:rsidP="00491FD5">
            <w:pPr>
              <w:spacing w:after="160" w:line="256" w:lineRule="auto"/>
              <w:rPr>
                <w:rFonts w:ascii="Calibri" w:hAnsi="Calibri" w:cs="Calibri"/>
                <w:i/>
                <w:iCs/>
                <w:noProof/>
                <w:sz w:val="18"/>
              </w:rPr>
            </w:pPr>
            <w:r>
              <w:rPr>
                <w:rFonts w:ascii="Calibri" w:hAnsi="Calibri" w:cs="Calibri"/>
                <w:i/>
                <w:iCs/>
                <w:noProof/>
                <w:sz w:val="18"/>
              </w:rPr>
              <w:t>The two graphs below show in green the minimum percentage of investments that are aligned with the EU Taxonomy. As there is no appropriate methodology to determine the Taxonomy-alignment of sovereign bonds*, t</w:t>
            </w:r>
            <w:r w:rsidRPr="007B7FC6">
              <w:rPr>
                <w:rFonts w:ascii="Calibri" w:hAnsi="Calibri" w:cs="Calibri"/>
                <w:i/>
                <w:iCs/>
                <w:noProof/>
                <w:sz w:val="18"/>
              </w:rPr>
              <w: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DA67DD" w:rsidRPr="00965A52" w14:paraId="4398CF9B" w14:textId="77777777" w:rsidTr="00491FD5">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14:paraId="2BEFEBB1" w14:textId="77777777" w:rsidR="00DA67DD" w:rsidRPr="00A87EAE" w:rsidRDefault="00DA67DD" w:rsidP="00491FD5">
            <w:pPr>
              <w:rPr>
                <w:rFonts w:ascii="Calibri" w:hAnsi="Calibri"/>
                <w:b w:val="0"/>
                <w:bCs w:val="0"/>
                <w:noProof/>
                <w:sz w:val="18"/>
              </w:rPr>
            </w:pPr>
            <w:r w:rsidRPr="00EC1666">
              <w:rPr>
                <w:rFonts w:ascii="Calibri" w:hAnsi="Calibri"/>
                <w:noProof/>
                <w:sz w:val="18"/>
              </w:rPr>
              <w:drawing>
                <wp:inline distT="0" distB="0" distL="0" distR="0" wp14:anchorId="52B3A2F7" wp14:editId="507FC0B6">
                  <wp:extent cx="2280920" cy="1743075"/>
                  <wp:effectExtent l="0" t="0" r="1778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974" w:type="dxa"/>
            <w:shd w:val="clear" w:color="auto" w:fill="FAE9D7"/>
          </w:tcPr>
          <w:p w14:paraId="2E31B27A" w14:textId="77777777" w:rsidR="00DA67DD" w:rsidRPr="00A87EAE" w:rsidRDefault="00DA67DD" w:rsidP="00491FD5">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sz w:val="18"/>
                <w:u w:val="single"/>
              </w:rPr>
            </w:pPr>
            <w:r w:rsidRPr="00EC1666">
              <w:rPr>
                <w:rFonts w:ascii="Calibri" w:hAnsi="Calibri"/>
                <w:noProof/>
                <w:sz w:val="18"/>
              </w:rPr>
              <w:drawing>
                <wp:inline distT="0" distB="0" distL="0" distR="0" wp14:anchorId="5010DDEF" wp14:editId="321EEF2B">
                  <wp:extent cx="2359025" cy="1743389"/>
                  <wp:effectExtent l="0" t="0" r="1587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DA67DD" w:rsidRPr="00965A52" w14:paraId="27C5250A" w14:textId="77777777" w:rsidTr="00491FD5">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tcPr>
          <w:p w14:paraId="58614C9E" w14:textId="77777777" w:rsidR="00DA67DD" w:rsidRPr="00965A52" w:rsidRDefault="00DA67DD" w:rsidP="00491FD5">
            <w:pPr>
              <w:spacing w:line="256" w:lineRule="auto"/>
              <w:ind w:left="37"/>
              <w:rPr>
                <w:rFonts w:ascii="Calibri" w:hAnsi="Calibri"/>
                <w:noProof/>
                <w:sz w:val="18"/>
              </w:rPr>
            </w:pPr>
            <w:r w:rsidRPr="00965A52">
              <w:rPr>
                <w:rFonts w:ascii="Calibri" w:hAnsi="Calibri"/>
                <w:b w:val="0"/>
                <w:noProof/>
                <w:sz w:val="18"/>
              </w:rPr>
              <w:t xml:space="preserve">* </w:t>
            </w:r>
            <w:r>
              <w:rPr>
                <w:rFonts w:ascii="Calibri" w:hAnsi="Calibri"/>
                <w:b w:val="0"/>
                <w:noProof/>
                <w:sz w:val="18"/>
              </w:rPr>
              <w:t xml:space="preserve"> </w:t>
            </w:r>
            <w:r w:rsidRPr="008001BE">
              <w:rPr>
                <w:rFonts w:ascii="Calibri" w:hAnsi="Calibri" w:cs="Calibri"/>
                <w:b w:val="0"/>
                <w:i/>
                <w:iCs/>
                <w:noProof/>
                <w:sz w:val="18"/>
              </w:rPr>
              <w:t xml:space="preserve"> For the purpose of these graphs,</w:t>
            </w:r>
            <w:r w:rsidRPr="00D22D85">
              <w:rPr>
                <w:rFonts w:ascii="Calibri" w:hAnsi="Calibri" w:cs="Calibri"/>
                <w:b w:val="0"/>
                <w:i/>
                <w:iCs/>
                <w:noProof/>
                <w:sz w:val="18"/>
              </w:rPr>
              <w:t xml:space="preserve"> ‘</w:t>
            </w:r>
            <w:r>
              <w:rPr>
                <w:rFonts w:ascii="Calibri" w:hAnsi="Calibri" w:cs="Calibri"/>
                <w:b w:val="0"/>
                <w:i/>
                <w:iCs/>
                <w:noProof/>
                <w:sz w:val="18"/>
              </w:rPr>
              <w:t xml:space="preserve">sovereign bonds’ consist of all </w:t>
            </w:r>
            <w:r w:rsidRPr="00965A52">
              <w:rPr>
                <w:rFonts w:ascii="Calibri" w:hAnsi="Calibri" w:cs="Calibri"/>
                <w:b w:val="0"/>
                <w:i/>
                <w:iCs/>
                <w:noProof/>
                <w:sz w:val="18"/>
              </w:rPr>
              <w:t>sovereign exposures</w:t>
            </w:r>
            <w:r>
              <w:rPr>
                <w:rFonts w:ascii="Calibri" w:hAnsi="Calibri" w:cs="Calibri"/>
                <w:b w:val="0"/>
                <w:i/>
                <w:iCs/>
                <w:noProof/>
                <w:sz w:val="18"/>
              </w:rPr>
              <w:t>.</w:t>
            </w:r>
          </w:p>
        </w:tc>
      </w:tr>
    </w:tbl>
    <w:p w14:paraId="512AA9BA" w14:textId="77777777" w:rsidR="00DA67DD" w:rsidRDefault="00DA67DD" w:rsidP="00DA67DD">
      <w:pPr>
        <w:pStyle w:val="NormalWeb"/>
        <w:spacing w:line="360" w:lineRule="auto"/>
        <w:ind w:left="708"/>
        <w:rPr>
          <w:rFonts w:ascii="Source Sans Pro" w:hAnsi="Source Sans Pro"/>
          <w:sz w:val="22"/>
          <w:szCs w:val="22"/>
          <w:lang w:val="en-GB"/>
        </w:rPr>
      </w:pPr>
    </w:p>
    <w:p w14:paraId="6CBE2E24" w14:textId="77777777" w:rsidR="00DA67DD" w:rsidRDefault="00DA67DD" w:rsidP="00DA67DD">
      <w:pPr>
        <w:pStyle w:val="NormalWeb"/>
        <w:spacing w:line="360" w:lineRule="auto"/>
        <w:ind w:left="708"/>
        <w:rPr>
          <w:rFonts w:ascii="Source Sans Pro" w:hAnsi="Source Sans Pro"/>
          <w:sz w:val="22"/>
          <w:szCs w:val="22"/>
          <w:lang w:val="en-GB"/>
        </w:rPr>
      </w:pPr>
    </w:p>
    <w:p w14:paraId="56FD18A8" w14:textId="77777777" w:rsidR="00DA67DD" w:rsidRDefault="00DA67DD" w:rsidP="00DA67DD">
      <w:pPr>
        <w:pStyle w:val="NormalWeb"/>
        <w:spacing w:line="360" w:lineRule="auto"/>
        <w:ind w:left="708"/>
        <w:rPr>
          <w:rFonts w:ascii="Source Sans Pro" w:hAnsi="Source Sans Pro"/>
          <w:sz w:val="22"/>
          <w:szCs w:val="22"/>
          <w:lang w:val="en-GB"/>
        </w:rPr>
      </w:pPr>
    </w:p>
    <w:p w14:paraId="46A7CF5B" w14:textId="77777777" w:rsidR="00DA67DD" w:rsidRDefault="00DA67DD" w:rsidP="00DA67DD">
      <w:pPr>
        <w:pStyle w:val="NormalWeb"/>
        <w:spacing w:line="360" w:lineRule="auto"/>
        <w:ind w:left="708"/>
        <w:rPr>
          <w:rFonts w:ascii="Source Sans Pro" w:hAnsi="Source Sans Pro"/>
          <w:sz w:val="22"/>
          <w:szCs w:val="22"/>
          <w:lang w:val="en-GB"/>
        </w:rPr>
      </w:pPr>
    </w:p>
    <w:p w14:paraId="2ECAA63C" w14:textId="77777777" w:rsidR="00DA67DD" w:rsidRDefault="00DA67DD" w:rsidP="00DA67DD">
      <w:pPr>
        <w:pStyle w:val="NormalWeb"/>
        <w:spacing w:line="360" w:lineRule="auto"/>
        <w:ind w:left="708"/>
        <w:rPr>
          <w:rFonts w:ascii="Source Sans Pro" w:hAnsi="Source Sans Pro"/>
          <w:sz w:val="22"/>
          <w:szCs w:val="22"/>
          <w:lang w:val="en-GB"/>
        </w:rPr>
      </w:pPr>
    </w:p>
    <w:p w14:paraId="2F580CE9" w14:textId="77777777" w:rsidR="00DA67DD" w:rsidRDefault="00DA67DD" w:rsidP="00DA67DD">
      <w:pPr>
        <w:pStyle w:val="NormalWeb"/>
        <w:spacing w:line="360" w:lineRule="auto"/>
        <w:ind w:left="708"/>
        <w:rPr>
          <w:rFonts w:ascii="Source Sans Pro" w:hAnsi="Source Sans Pro"/>
          <w:sz w:val="22"/>
          <w:szCs w:val="22"/>
          <w:lang w:val="en-GB"/>
        </w:rPr>
      </w:pPr>
    </w:p>
    <w:p w14:paraId="5FF41A90" w14:textId="77777777" w:rsidR="00DA67DD" w:rsidRDefault="00DA67DD" w:rsidP="00DA67DD">
      <w:pPr>
        <w:pStyle w:val="NormalWeb"/>
        <w:spacing w:line="360" w:lineRule="auto"/>
        <w:ind w:left="708"/>
        <w:rPr>
          <w:rFonts w:ascii="Source Sans Pro" w:hAnsi="Source Sans Pro"/>
          <w:sz w:val="22"/>
          <w:szCs w:val="22"/>
          <w:lang w:val="en-GB"/>
        </w:rPr>
      </w:pPr>
    </w:p>
    <w:p w14:paraId="32ABF0F0" w14:textId="77777777" w:rsidR="00DA67DD" w:rsidRPr="0083292E" w:rsidRDefault="00DA67DD" w:rsidP="00DA67DD">
      <w:pPr>
        <w:rPr>
          <w:rFonts w:cs="Times New Roman"/>
          <w:sz w:val="20"/>
          <w:szCs w:val="20"/>
        </w:rPr>
      </w:pPr>
    </w:p>
    <w:p w14:paraId="0946ECE0" w14:textId="77777777" w:rsidR="00DA67DD" w:rsidRPr="0083292E" w:rsidRDefault="00DA67DD" w:rsidP="00DA67DD">
      <w:pPr>
        <w:rPr>
          <w:rFonts w:cs="Times New Roman"/>
          <w:sz w:val="20"/>
          <w:szCs w:val="20"/>
        </w:rPr>
      </w:pPr>
    </w:p>
    <w:p w14:paraId="00F9FE02" w14:textId="77777777" w:rsidR="00DA67DD" w:rsidRPr="0083292E" w:rsidRDefault="00DA67DD" w:rsidP="00DA67DD">
      <w:pPr>
        <w:ind w:left="567"/>
        <w:rPr>
          <w:rFonts w:cs="Times New Roman"/>
          <w:i/>
          <w:iCs/>
          <w:sz w:val="20"/>
          <w:szCs w:val="20"/>
        </w:rPr>
      </w:pPr>
      <w:r w:rsidRPr="0083292E">
        <w:rPr>
          <w:rFonts w:cs="Times New Roman"/>
          <w:i/>
          <w:iCs/>
          <w:sz w:val="20"/>
          <w:szCs w:val="20"/>
        </w:rPr>
        <w:t>What is the minimum share of investments in transitional and enabling activities?</w:t>
      </w:r>
    </w:p>
    <w:p w14:paraId="119241C9" w14:textId="77777777" w:rsidR="00DA67DD" w:rsidRPr="0083292E" w:rsidRDefault="00DA67DD" w:rsidP="00DA67DD">
      <w:pPr>
        <w:ind w:left="567"/>
        <w:rPr>
          <w:rFonts w:cs="Times New Roman"/>
          <w:i/>
          <w:iCs/>
          <w:sz w:val="20"/>
          <w:szCs w:val="20"/>
        </w:rPr>
      </w:pPr>
    </w:p>
    <w:p w14:paraId="32F27232" w14:textId="77777777" w:rsidR="00DA67DD" w:rsidRPr="0083292E" w:rsidRDefault="00DA67DD" w:rsidP="00DA67DD">
      <w:pPr>
        <w:ind w:left="567"/>
        <w:rPr>
          <w:rFonts w:cs="Times New Roman"/>
          <w:sz w:val="20"/>
          <w:szCs w:val="20"/>
        </w:rPr>
      </w:pPr>
      <w:r w:rsidRPr="0083292E">
        <w:rPr>
          <w:rFonts w:cs="Times New Roman"/>
          <w:sz w:val="20"/>
          <w:szCs w:val="20"/>
        </w:rPr>
        <w:t>The Fund does not commit to invest in transitional nor enabling activities.</w:t>
      </w:r>
    </w:p>
    <w:p w14:paraId="1A13B3A8" w14:textId="77777777" w:rsidR="00DA67DD" w:rsidRPr="0083292E" w:rsidRDefault="00DA67DD" w:rsidP="00DA67DD">
      <w:pPr>
        <w:rPr>
          <w:rFonts w:cs="Times New Roman"/>
          <w:sz w:val="20"/>
          <w:szCs w:val="20"/>
        </w:rPr>
      </w:pPr>
    </w:p>
    <w:p w14:paraId="00DFFACE" w14:textId="77777777" w:rsidR="00DA67DD" w:rsidRDefault="00DA67DD" w:rsidP="00DA67DD">
      <w:pPr>
        <w:rPr>
          <w:rFonts w:cs="Times New Roman"/>
          <w:sz w:val="20"/>
          <w:szCs w:val="20"/>
        </w:rPr>
      </w:pPr>
    </w:p>
    <w:p w14:paraId="2BA56699" w14:textId="77777777" w:rsidR="00DA67DD" w:rsidRDefault="00DA67DD" w:rsidP="00DA67DD">
      <w:pPr>
        <w:rPr>
          <w:rFonts w:cs="Times New Roman"/>
          <w:sz w:val="20"/>
          <w:szCs w:val="20"/>
        </w:rPr>
      </w:pPr>
    </w:p>
    <w:p w14:paraId="035DCECC" w14:textId="77777777" w:rsidR="00DA67DD" w:rsidRDefault="00DA67DD" w:rsidP="00DA67DD">
      <w:pPr>
        <w:rPr>
          <w:rFonts w:cs="Times New Roman"/>
          <w:sz w:val="20"/>
          <w:szCs w:val="20"/>
        </w:rPr>
      </w:pPr>
    </w:p>
    <w:p w14:paraId="40D308DA" w14:textId="77777777" w:rsidR="00DA67DD" w:rsidRDefault="00DA67DD" w:rsidP="00DA67DD">
      <w:pPr>
        <w:rPr>
          <w:rFonts w:cs="Times New Roman"/>
          <w:sz w:val="20"/>
          <w:szCs w:val="20"/>
        </w:rPr>
      </w:pPr>
    </w:p>
    <w:p w14:paraId="7B077B7E" w14:textId="77777777" w:rsidR="00DA67DD" w:rsidRDefault="00DA67DD" w:rsidP="00DA67DD">
      <w:pPr>
        <w:rPr>
          <w:rFonts w:cs="Times New Roman"/>
          <w:sz w:val="20"/>
          <w:szCs w:val="20"/>
        </w:rPr>
      </w:pPr>
    </w:p>
    <w:p w14:paraId="69198AFB" w14:textId="77777777" w:rsidR="00DA67DD" w:rsidRDefault="00DA67DD" w:rsidP="00DA67DD">
      <w:pPr>
        <w:rPr>
          <w:rFonts w:cs="Times New Roman"/>
          <w:sz w:val="20"/>
          <w:szCs w:val="20"/>
        </w:rPr>
      </w:pPr>
    </w:p>
    <w:p w14:paraId="13F5A2EB" w14:textId="77777777" w:rsidR="00DA67DD" w:rsidRDefault="00DA67DD" w:rsidP="00DA67DD">
      <w:pPr>
        <w:rPr>
          <w:rFonts w:cs="Times New Roman"/>
          <w:sz w:val="20"/>
          <w:szCs w:val="20"/>
        </w:rPr>
      </w:pPr>
    </w:p>
    <w:p w14:paraId="5177BBC8" w14:textId="77777777" w:rsidR="00DA67DD" w:rsidRDefault="00DA67DD" w:rsidP="00DA67DD">
      <w:pPr>
        <w:rPr>
          <w:rFonts w:cs="Times New Roman"/>
          <w:sz w:val="20"/>
          <w:szCs w:val="20"/>
        </w:rPr>
      </w:pPr>
    </w:p>
    <w:p w14:paraId="796BBA26" w14:textId="77777777" w:rsidR="00DA67DD" w:rsidRDefault="00DA67DD" w:rsidP="00DA67DD">
      <w:pPr>
        <w:rPr>
          <w:rFonts w:cs="Times New Roman"/>
          <w:sz w:val="20"/>
          <w:szCs w:val="20"/>
        </w:rPr>
      </w:pPr>
    </w:p>
    <w:p w14:paraId="34D1437C" w14:textId="77777777" w:rsidR="00DA67DD" w:rsidRDefault="00DA67DD" w:rsidP="00DA67DD">
      <w:pPr>
        <w:rPr>
          <w:rFonts w:cs="Times New Roman"/>
          <w:sz w:val="20"/>
          <w:szCs w:val="20"/>
        </w:rPr>
      </w:pPr>
    </w:p>
    <w:p w14:paraId="5B16B34D" w14:textId="77777777" w:rsidR="00DA67DD" w:rsidRDefault="00DA67DD" w:rsidP="00DA67DD">
      <w:pPr>
        <w:rPr>
          <w:rFonts w:cs="Times New Roman"/>
          <w:sz w:val="20"/>
          <w:szCs w:val="20"/>
        </w:rPr>
      </w:pPr>
    </w:p>
    <w:p w14:paraId="10E98736" w14:textId="77777777" w:rsidR="00DA67DD" w:rsidRDefault="00DA67DD" w:rsidP="00DA67DD">
      <w:pPr>
        <w:rPr>
          <w:rFonts w:cs="Times New Roman"/>
          <w:sz w:val="20"/>
          <w:szCs w:val="20"/>
        </w:rPr>
      </w:pPr>
    </w:p>
    <w:p w14:paraId="69F4EE38" w14:textId="77777777" w:rsidR="00DA67DD" w:rsidRDefault="00DA67DD" w:rsidP="00DA67DD">
      <w:pPr>
        <w:rPr>
          <w:rFonts w:cs="Times New Roman"/>
          <w:sz w:val="20"/>
          <w:szCs w:val="20"/>
        </w:rPr>
      </w:pPr>
    </w:p>
    <w:p w14:paraId="7463BEBF" w14:textId="77777777" w:rsidR="00DA67DD" w:rsidRPr="0083292E" w:rsidRDefault="00DA67DD" w:rsidP="00DA67DD">
      <w:pPr>
        <w:rPr>
          <w:rFonts w:cs="Times New Roman"/>
          <w:sz w:val="20"/>
          <w:szCs w:val="20"/>
        </w:rPr>
      </w:pPr>
    </w:p>
    <w:p w14:paraId="31998E83" w14:textId="77777777" w:rsidR="00DA67DD" w:rsidRPr="0083292E" w:rsidRDefault="00DA67DD" w:rsidP="00DA67DD">
      <w:pPr>
        <w:ind w:left="567"/>
        <w:rPr>
          <w:rFonts w:cs="Times New Roman"/>
          <w:sz w:val="20"/>
          <w:szCs w:val="20"/>
        </w:rPr>
      </w:pPr>
      <w:r w:rsidRPr="003A1C01">
        <w:rPr>
          <w:rFonts w:ascii="Calibri" w:hAnsi="Calibri"/>
          <w:noProof/>
          <w:szCs w:val="24"/>
        </w:rPr>
        <mc:AlternateContent>
          <mc:Choice Requires="wps">
            <w:drawing>
              <wp:anchor distT="0" distB="0" distL="114300" distR="114300" simplePos="0" relativeHeight="251679744" behindDoc="0" locked="0" layoutInCell="1" allowOverlap="1" wp14:anchorId="67CA1A30" wp14:editId="4F5B8DE9">
                <wp:simplePos x="0" y="0"/>
                <wp:positionH relativeFrom="page">
                  <wp:posOffset>65546</wp:posOffset>
                </wp:positionH>
                <wp:positionV relativeFrom="margin">
                  <wp:posOffset>254706</wp:posOffset>
                </wp:positionV>
                <wp:extent cx="1026795" cy="2155190"/>
                <wp:effectExtent l="0" t="0" r="1905" b="3810"/>
                <wp:wrapSquare wrapText="bothSides"/>
                <wp:docPr id="418152929" name="Rectangle 418152929"/>
                <wp:cNvGraphicFramePr/>
                <a:graphic xmlns:a="http://schemas.openxmlformats.org/drawingml/2006/main">
                  <a:graphicData uri="http://schemas.microsoft.com/office/word/2010/wordprocessingShape">
                    <wps:wsp>
                      <wps:cNvSpPr/>
                      <wps:spPr>
                        <a:xfrm>
                          <a:off x="0" y="0"/>
                          <a:ext cx="1026795" cy="2155190"/>
                        </a:xfrm>
                        <a:prstGeom prst="rect">
                          <a:avLst/>
                        </a:prstGeom>
                        <a:solidFill>
                          <a:sysClr val="window" lastClr="FFFFFF">
                            <a:lumMod val="95000"/>
                          </a:sysClr>
                        </a:solidFill>
                        <a:ln w="12700" cap="flat" cmpd="sng" algn="ctr">
                          <a:noFill/>
                          <a:prstDash val="solid"/>
                          <a:miter lim="800000"/>
                        </a:ln>
                        <a:effectLst/>
                      </wps:spPr>
                      <wps:txbx>
                        <w:txbxContent>
                          <w:p w14:paraId="5A5003D0" w14:textId="77777777" w:rsidR="00DA67DD" w:rsidRPr="00BD057B" w:rsidRDefault="00DA67DD" w:rsidP="00DA67DD">
                            <w:pPr>
                              <w:ind w:left="-142" w:right="-318"/>
                              <w:jc w:val="left"/>
                              <w:rPr>
                                <w:rFonts w:asciiTheme="minorHAnsi" w:hAnsiTheme="minorHAnsi" w:cstheme="minorHAnsi"/>
                                <w:bCs/>
                                <w:color w:val="000000"/>
                                <w:sz w:val="18"/>
                                <w:szCs w:val="21"/>
                              </w:rPr>
                            </w:pPr>
                            <w:r w:rsidRPr="00BD057B">
                              <w:rPr>
                                <w:noProof/>
                                <w:sz w:val="21"/>
                                <w:szCs w:val="21"/>
                              </w:rPr>
                              <w:t xml:space="preserve">   </w:t>
                            </w:r>
                            <w:r w:rsidRPr="00BD057B">
                              <w:rPr>
                                <w:noProof/>
                                <w:sz w:val="21"/>
                                <w:szCs w:val="21"/>
                              </w:rPr>
                              <w:drawing>
                                <wp:inline distT="0" distB="0" distL="0" distR="0" wp14:anchorId="7EC4762B" wp14:editId="51F648EE">
                                  <wp:extent cx="277978" cy="264312"/>
                                  <wp:effectExtent l="0" t="0" r="8255" b="2540"/>
                                  <wp:docPr id="1703396036" name="Graphique 1703396036"/>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2736" cy="268836"/>
                                          </a:xfrm>
                                          <a:prstGeom prst="rect">
                                            <a:avLst/>
                                          </a:prstGeom>
                                        </pic:spPr>
                                      </pic:pic>
                                    </a:graphicData>
                                  </a:graphic>
                                </wp:inline>
                              </w:drawing>
                            </w:r>
                            <w:r w:rsidRPr="00BD057B">
                              <w:rPr>
                                <w:noProof/>
                                <w:sz w:val="18"/>
                                <w:szCs w:val="21"/>
                              </w:rPr>
                              <w:t xml:space="preserve"> </w:t>
                            </w:r>
                            <w:r w:rsidRPr="00BD057B">
                              <w:rPr>
                                <w:rFonts w:asciiTheme="minorHAnsi" w:hAnsiTheme="minorHAnsi" w:cstheme="minorHAnsi"/>
                                <w:noProof/>
                                <w:sz w:val="18"/>
                                <w:szCs w:val="21"/>
                              </w:rPr>
                              <w:t xml:space="preserve">are sustainable investments with an environmental objective that </w:t>
                            </w:r>
                            <w:r w:rsidRPr="00BD057B">
                              <w:rPr>
                                <w:rFonts w:asciiTheme="minorHAnsi" w:hAnsiTheme="minorHAnsi" w:cstheme="minorHAnsi"/>
                                <w:b/>
                                <w:noProof/>
                                <w:sz w:val="18"/>
                                <w:szCs w:val="21"/>
                              </w:rPr>
                              <w:t>do not take into account the criteria</w:t>
                            </w:r>
                            <w:r w:rsidRPr="00BD057B">
                              <w:rPr>
                                <w:rFonts w:asciiTheme="minorHAnsi" w:hAnsiTheme="minorHAnsi" w:cstheme="minorHAnsi"/>
                                <w:noProof/>
                                <w:sz w:val="18"/>
                                <w:szCs w:val="21"/>
                              </w:rPr>
                              <w:t xml:space="preserve"> for environmentaly sustainable economic activities under the EU Taxonomy. </w:t>
                            </w:r>
                          </w:p>
                          <w:p w14:paraId="4AAF2505" w14:textId="77777777" w:rsidR="00DA67DD" w:rsidRPr="00BD057B" w:rsidRDefault="00DA67DD" w:rsidP="00DA67DD">
                            <w:pPr>
                              <w:ind w:left="-142" w:right="-139"/>
                              <w:jc w:val="left"/>
                              <w:rPr>
                                <w:rFonts w:asciiTheme="minorHAnsi" w:hAnsiTheme="minorHAnsi" w:cstheme="minorHAnsi"/>
                                <w:bCs/>
                                <w:color w:val="000000"/>
                                <w:sz w:val="15"/>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A1A30" id="Rectangle 418152929" o:spid="_x0000_s1035" style="position:absolute;left:0;text-align:left;margin-left:5.15pt;margin-top:20.05pt;width:80.85pt;height:169.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K/tfAIAAOgEAAAOAAAAZHJzL2Uyb0RvYy54bWysVEtvGyEQvlfqf0Dcm300TmIr68hK5KpS&#13;&#10;mkRKqpwxC14kYChg77q/vgPrR5r2VNUHPC/m8fHNXt8MRpOt8EGBbWh1VlIiLIdW2XVDv78sP11R&#13;&#10;EiKzLdNgRUN3ItCb+ccP172biRo60K3wBJPYMOtdQ7sY3awoAu+EYeEMnLDolOANi6j6ddF61mN2&#13;&#10;o4u6LC+KHnzrPHARAlrvRied5/xSCh4fpQwiEt1Q7C3m0+dzlc5ifs1ma89cp/i+DfYPXRimLBY9&#13;&#10;prpjkZGNV3+kMop7CCDjGQdTgJSKizwDTlOV76Z57pgTeRYEJ7gjTOH/peUP22f35BGG3oVZQDFN&#13;&#10;MUhv0j/2R4YM1u4Ilhgi4WisyvricjqhhKOvriaTaprhLE7XnQ/xiwBDktBQj6+RQWLb+xCxJIYe&#13;&#10;QlK1AFq1S6V1VnbhVnuyZfhw+N4t9JRoFiIaG7rMv5xLb8w3aMe46aQsDz2EfD/X+C2vtqTH5utL&#13;&#10;jCScIeWkZhFF49qGBrumhOk1cplHnwtYSC1lnqRm71joxmo57UggoyKyWCvT0Cts4diEtmkUkXm4&#13;&#10;H/kEc5LisBqIwsLTlChZVtDunjzxMFI1OL5UWPYeR39iHrmJbeO+xUc8pAacBfYSJR34n3+zp3ik&#13;&#10;DHop6ZHrOOePDfMCEf1qkUzV+XnqmcSsfb7Iis9KPcEtQ9cqa+eTyxoVuzG3gO9S4W47nkW0+qgP&#13;&#10;ovRgXnExF6kuupjlWH3EdK/cxnELcbW5WCxyGK6EY/HePjuekifsEuQvwyvzbk+iiPx7gMNmsNk7&#13;&#10;Lo2x6aaFxSaCVJloJ2SREUnBdcrc2K9+2te3eo46faDmvwAAAP//AwBQSwMEFAAGAAgAAAAhAOJn&#13;&#10;8griAAAADgEAAA8AAABkcnMvZG93bnJldi54bWxMj0FPwzAMhe9I/IfISNxY0g0odE0nxoSYBBwY&#13;&#10;cPca01ZrkqrJ2vLv8U5wsfT07Of35avJtmKgPjTeaUhmCgS50pvGVRo+P56u7kCEiM5g6x1p+KEA&#13;&#10;q+L8LMfM+NG907CLleAQFzLUUMfYZVKGsiaLYeY7cux9+95iZNlX0vQ4crht5VypW2mxcfyhxo4e&#13;&#10;ayoPu6PV0GwPiVm/xm36PL61A25evqZ1qvXlxbRZ8nhYgog0xb8LODFwfyi42N4fnQmiZa0WvKnh&#13;&#10;WiUgTn46Z8C9hkV6fwOyyOV/jOIXAAD//wMAUEsBAi0AFAAGAAgAAAAhALaDOJL+AAAA4QEAABMA&#13;&#10;AAAAAAAAAAAAAAAAAAAAAFtDb250ZW50X1R5cGVzXS54bWxQSwECLQAUAAYACAAAACEAOP0h/9YA&#13;&#10;AACUAQAACwAAAAAAAAAAAAAAAAAvAQAAX3JlbHMvLnJlbHNQSwECLQAUAAYACAAAACEAaLiv7XwC&#13;&#10;AADoBAAADgAAAAAAAAAAAAAAAAAuAgAAZHJzL2Uyb0RvYy54bWxQSwECLQAUAAYACAAAACEA4mfy&#13;&#10;CuIAAAAOAQAADwAAAAAAAAAAAAAAAADWBAAAZHJzL2Rvd25yZXYueG1sUEsFBgAAAAAEAAQA8wAA&#13;&#10;AOUFAAAAAA==&#13;&#10;" fillcolor="#f2f2f2" stroked="f" strokeweight="1pt">
                <v:textbox inset="4mm,1mm,7mm">
                  <w:txbxContent>
                    <w:p w14:paraId="5A5003D0" w14:textId="77777777" w:rsidR="00DA67DD" w:rsidRPr="00BD057B" w:rsidRDefault="00DA67DD" w:rsidP="00DA67DD">
                      <w:pPr>
                        <w:ind w:left="-142" w:right="-318"/>
                        <w:jc w:val="left"/>
                        <w:rPr>
                          <w:rFonts w:asciiTheme="minorHAnsi" w:hAnsiTheme="minorHAnsi" w:cstheme="minorHAnsi"/>
                          <w:bCs/>
                          <w:color w:val="000000"/>
                          <w:sz w:val="18"/>
                          <w:szCs w:val="21"/>
                        </w:rPr>
                      </w:pPr>
                      <w:r w:rsidRPr="00BD057B">
                        <w:rPr>
                          <w:noProof/>
                          <w:sz w:val="21"/>
                          <w:szCs w:val="21"/>
                        </w:rPr>
                        <w:t xml:space="preserve">   </w:t>
                      </w:r>
                      <w:r w:rsidRPr="00BD057B">
                        <w:rPr>
                          <w:noProof/>
                          <w:sz w:val="21"/>
                          <w:szCs w:val="21"/>
                        </w:rPr>
                        <w:drawing>
                          <wp:inline distT="0" distB="0" distL="0" distR="0" wp14:anchorId="7EC4762B" wp14:editId="51F648EE">
                            <wp:extent cx="277978" cy="264312"/>
                            <wp:effectExtent l="0" t="0" r="8255" b="2540"/>
                            <wp:docPr id="1703396036" name="Graphique 1703396036"/>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82736" cy="268836"/>
                                    </a:xfrm>
                                    <a:prstGeom prst="rect">
                                      <a:avLst/>
                                    </a:prstGeom>
                                  </pic:spPr>
                                </pic:pic>
                              </a:graphicData>
                            </a:graphic>
                          </wp:inline>
                        </w:drawing>
                      </w:r>
                      <w:r w:rsidRPr="00BD057B">
                        <w:rPr>
                          <w:noProof/>
                          <w:sz w:val="18"/>
                          <w:szCs w:val="21"/>
                        </w:rPr>
                        <w:t xml:space="preserve"> </w:t>
                      </w:r>
                      <w:r w:rsidRPr="00BD057B">
                        <w:rPr>
                          <w:rFonts w:asciiTheme="minorHAnsi" w:hAnsiTheme="minorHAnsi" w:cstheme="minorHAnsi"/>
                          <w:noProof/>
                          <w:sz w:val="18"/>
                          <w:szCs w:val="21"/>
                        </w:rPr>
                        <w:t xml:space="preserve">are sustainable investments with an environmental objective that </w:t>
                      </w:r>
                      <w:r w:rsidRPr="00BD057B">
                        <w:rPr>
                          <w:rFonts w:asciiTheme="minorHAnsi" w:hAnsiTheme="minorHAnsi" w:cstheme="minorHAnsi"/>
                          <w:b/>
                          <w:noProof/>
                          <w:sz w:val="18"/>
                          <w:szCs w:val="21"/>
                        </w:rPr>
                        <w:t>do not take into account the criteria</w:t>
                      </w:r>
                      <w:r w:rsidRPr="00BD057B">
                        <w:rPr>
                          <w:rFonts w:asciiTheme="minorHAnsi" w:hAnsiTheme="minorHAnsi" w:cstheme="minorHAnsi"/>
                          <w:noProof/>
                          <w:sz w:val="18"/>
                          <w:szCs w:val="21"/>
                        </w:rPr>
                        <w:t xml:space="preserve"> for environmentaly sustainable economic activities under the EU Taxonomy. </w:t>
                      </w:r>
                    </w:p>
                    <w:p w14:paraId="4AAF2505" w14:textId="77777777" w:rsidR="00DA67DD" w:rsidRPr="00BD057B" w:rsidRDefault="00DA67DD" w:rsidP="00DA67DD">
                      <w:pPr>
                        <w:ind w:left="-142" w:right="-139"/>
                        <w:jc w:val="left"/>
                        <w:rPr>
                          <w:rFonts w:asciiTheme="minorHAnsi" w:hAnsiTheme="minorHAnsi" w:cstheme="minorHAnsi"/>
                          <w:bCs/>
                          <w:color w:val="000000"/>
                          <w:sz w:val="15"/>
                          <w:szCs w:val="18"/>
                        </w:rPr>
                      </w:pPr>
                    </w:p>
                  </w:txbxContent>
                </v:textbox>
                <w10:wrap type="square" anchorx="page" anchory="margin"/>
              </v:rect>
            </w:pict>
          </mc:Fallback>
        </mc:AlternateContent>
      </w:r>
      <w:r w:rsidRPr="0083292E">
        <w:rPr>
          <w:rFonts w:cs="Times New Roman"/>
          <w:noProof/>
          <w:sz w:val="20"/>
          <w:szCs w:val="20"/>
        </w:rPr>
        <w:drawing>
          <wp:anchor distT="0" distB="0" distL="114300" distR="114300" simplePos="0" relativeHeight="251664384" behindDoc="1" locked="0" layoutInCell="1" hidden="0" allowOverlap="1" wp14:anchorId="066001C2" wp14:editId="2C302859">
            <wp:simplePos x="0" y="0"/>
            <wp:positionH relativeFrom="column">
              <wp:posOffset>189371</wp:posOffset>
            </wp:positionH>
            <wp:positionV relativeFrom="paragraph">
              <wp:posOffset>146050</wp:posOffset>
            </wp:positionV>
            <wp:extent cx="542925" cy="466725"/>
            <wp:effectExtent l="0" t="0" r="3175" b="3175"/>
            <wp:wrapNone/>
            <wp:docPr id="1972486377" name="Image 1972486377" descr="Une image contenant horloge, jau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horloge, jauge&#10;&#10;Description générée automatiquement"/>
                    <pic:cNvPicPr preferRelativeResize="0"/>
                  </pic:nvPicPr>
                  <pic:blipFill>
                    <a:blip r:embed="rId23"/>
                    <a:srcRect/>
                    <a:stretch>
                      <a:fillRect/>
                    </a:stretch>
                  </pic:blipFill>
                  <pic:spPr>
                    <a:xfrm>
                      <a:off x="0" y="0"/>
                      <a:ext cx="542925" cy="466725"/>
                    </a:xfrm>
                    <a:prstGeom prst="rect">
                      <a:avLst/>
                    </a:prstGeom>
                    <a:ln/>
                  </pic:spPr>
                </pic:pic>
              </a:graphicData>
            </a:graphic>
          </wp:anchor>
        </w:drawing>
      </w:r>
    </w:p>
    <w:p w14:paraId="6AFD0B6F" w14:textId="77777777" w:rsidR="00DA67DD" w:rsidRPr="000604B3" w:rsidRDefault="00DA67DD" w:rsidP="00DA67DD">
      <w:pPr>
        <w:numPr>
          <w:ilvl w:val="3"/>
          <w:numId w:val="9"/>
        </w:numPr>
        <w:ind w:left="1710"/>
        <w:rPr>
          <w:rFonts w:cs="Times New Roman"/>
          <w:sz w:val="20"/>
          <w:szCs w:val="20"/>
        </w:rPr>
      </w:pPr>
      <w:r w:rsidRPr="0083292E">
        <w:rPr>
          <w:rFonts w:cs="Times New Roman"/>
          <w:b/>
          <w:sz w:val="20"/>
          <w:szCs w:val="20"/>
        </w:rPr>
        <w:t>What is the minimum share of sustainable investments with an environmental objective that are not aligned with the EU Taxonomy?</w:t>
      </w:r>
    </w:p>
    <w:p w14:paraId="08AC84FC" w14:textId="77777777" w:rsidR="00DA67DD" w:rsidRPr="0083292E" w:rsidRDefault="00DA67DD" w:rsidP="00DA67DD">
      <w:pPr>
        <w:ind w:left="1710"/>
        <w:rPr>
          <w:rFonts w:cs="Times New Roman"/>
          <w:sz w:val="20"/>
          <w:szCs w:val="20"/>
        </w:rPr>
      </w:pPr>
    </w:p>
    <w:p w14:paraId="5D765B23" w14:textId="77777777" w:rsidR="00DA67DD" w:rsidRPr="0083292E" w:rsidRDefault="00DA67DD" w:rsidP="00DA67DD">
      <w:pPr>
        <w:rPr>
          <w:rFonts w:cs="Times New Roman"/>
          <w:sz w:val="20"/>
          <w:szCs w:val="20"/>
        </w:rPr>
      </w:pPr>
    </w:p>
    <w:p w14:paraId="20933245" w14:textId="77777777" w:rsidR="00DA67DD" w:rsidRPr="0083292E" w:rsidRDefault="00DA67DD" w:rsidP="00DA67DD">
      <w:pPr>
        <w:ind w:left="426"/>
        <w:rPr>
          <w:rFonts w:cs="Times New Roman"/>
          <w:sz w:val="20"/>
          <w:szCs w:val="20"/>
        </w:rPr>
      </w:pPr>
      <w:r w:rsidRPr="0083292E">
        <w:rPr>
          <w:rFonts w:cs="Times New Roman"/>
          <w:sz w:val="20"/>
          <w:szCs w:val="20"/>
        </w:rPr>
        <w:t>None, as the product does not and will not commit to make any sustainable investments.</w:t>
      </w:r>
    </w:p>
    <w:p w14:paraId="49FC51C4" w14:textId="77777777" w:rsidR="00DA67DD" w:rsidRPr="0083292E" w:rsidRDefault="00DA67DD" w:rsidP="00DA67DD">
      <w:pPr>
        <w:rPr>
          <w:rFonts w:cs="Times New Roman"/>
          <w:sz w:val="20"/>
          <w:szCs w:val="20"/>
        </w:rPr>
      </w:pPr>
    </w:p>
    <w:p w14:paraId="6FD997BA" w14:textId="77777777" w:rsidR="00DA67DD" w:rsidRPr="0083292E" w:rsidRDefault="00DA67DD" w:rsidP="00DA67DD">
      <w:pPr>
        <w:rPr>
          <w:rFonts w:cs="Times New Roman"/>
          <w:sz w:val="20"/>
          <w:szCs w:val="20"/>
        </w:rPr>
      </w:pPr>
    </w:p>
    <w:p w14:paraId="099EBE5F" w14:textId="77777777" w:rsidR="00DA67DD" w:rsidRPr="0083292E" w:rsidRDefault="00DA67DD" w:rsidP="00DA67DD">
      <w:pPr>
        <w:rPr>
          <w:rFonts w:cs="Times New Roman"/>
          <w:sz w:val="20"/>
          <w:szCs w:val="20"/>
        </w:rPr>
      </w:pPr>
      <w:r w:rsidRPr="0083292E">
        <w:rPr>
          <w:rFonts w:cs="Times New Roman"/>
          <w:noProof/>
          <w:sz w:val="20"/>
          <w:szCs w:val="20"/>
        </w:rPr>
        <w:drawing>
          <wp:anchor distT="0" distB="0" distL="114300" distR="114300" simplePos="0" relativeHeight="251665408" behindDoc="0" locked="0" layoutInCell="1" hidden="0" allowOverlap="1" wp14:anchorId="4E88B300" wp14:editId="6D47EA94">
            <wp:simplePos x="0" y="0"/>
            <wp:positionH relativeFrom="column">
              <wp:posOffset>193816</wp:posOffset>
            </wp:positionH>
            <wp:positionV relativeFrom="paragraph">
              <wp:posOffset>47625</wp:posOffset>
            </wp:positionV>
            <wp:extent cx="539750" cy="417195"/>
            <wp:effectExtent l="0" t="0" r="6350" b="1905"/>
            <wp:wrapSquare wrapText="bothSides" distT="0" distB="0" distL="114300" distR="114300"/>
            <wp:docPr id="1446976645" name="Image 1446976645"/>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539750" cy="417195"/>
                    </a:xfrm>
                    <a:prstGeom prst="rect">
                      <a:avLst/>
                    </a:prstGeom>
                    <a:ln/>
                  </pic:spPr>
                </pic:pic>
              </a:graphicData>
            </a:graphic>
          </wp:anchor>
        </w:drawing>
      </w:r>
    </w:p>
    <w:p w14:paraId="29FA0978" w14:textId="77777777" w:rsidR="00DA67DD" w:rsidRPr="0083292E" w:rsidRDefault="00DA67DD" w:rsidP="00DA67DD">
      <w:pPr>
        <w:numPr>
          <w:ilvl w:val="3"/>
          <w:numId w:val="9"/>
        </w:numPr>
        <w:ind w:left="1710"/>
        <w:rPr>
          <w:rFonts w:cs="Times New Roman"/>
          <w:sz w:val="20"/>
          <w:szCs w:val="20"/>
        </w:rPr>
      </w:pPr>
      <w:r w:rsidRPr="0083292E">
        <w:rPr>
          <w:rFonts w:cs="Times New Roman"/>
          <w:b/>
          <w:sz w:val="20"/>
          <w:szCs w:val="20"/>
        </w:rPr>
        <w:t>What is the minimum share of socially sustainable investments?</w:t>
      </w:r>
    </w:p>
    <w:p w14:paraId="784A1AF4" w14:textId="77777777" w:rsidR="00DA67DD" w:rsidRPr="0083292E" w:rsidRDefault="00000000" w:rsidP="00DA67DD">
      <w:pPr>
        <w:ind w:left="567"/>
        <w:rPr>
          <w:rFonts w:cs="Times New Roman"/>
          <w:sz w:val="20"/>
          <w:szCs w:val="20"/>
        </w:rPr>
      </w:pPr>
      <w:sdt>
        <w:sdtPr>
          <w:rPr>
            <w:rFonts w:cs="Times New Roman"/>
            <w:sz w:val="20"/>
            <w:szCs w:val="20"/>
          </w:rPr>
          <w:tag w:val="goog_rdk_12"/>
          <w:id w:val="335970291"/>
        </w:sdtPr>
        <w:sdtContent/>
      </w:sdt>
    </w:p>
    <w:p w14:paraId="4DF90517" w14:textId="77777777" w:rsidR="00DA67DD" w:rsidRDefault="00DA67DD" w:rsidP="00DA67DD">
      <w:pPr>
        <w:rPr>
          <w:rFonts w:cs="Times New Roman"/>
          <w:sz w:val="20"/>
          <w:szCs w:val="20"/>
          <w:lang w:val="en-US"/>
        </w:rPr>
      </w:pPr>
    </w:p>
    <w:p w14:paraId="65452655" w14:textId="77777777" w:rsidR="00DA67DD" w:rsidRPr="0083292E" w:rsidRDefault="00DA67DD" w:rsidP="00DA67DD">
      <w:pPr>
        <w:ind w:left="426"/>
        <w:rPr>
          <w:rFonts w:cs="Times New Roman"/>
          <w:sz w:val="20"/>
          <w:szCs w:val="20"/>
          <w:lang w:val="en-US"/>
        </w:rPr>
      </w:pPr>
      <w:r w:rsidRPr="0083292E">
        <w:rPr>
          <w:rFonts w:cs="Times New Roman"/>
          <w:sz w:val="20"/>
          <w:szCs w:val="20"/>
          <w:lang w:val="en-US"/>
        </w:rPr>
        <w:t xml:space="preserve">None, as the product does not and will not commit to make any sustainable investments. </w:t>
      </w:r>
    </w:p>
    <w:p w14:paraId="28DC890F" w14:textId="77777777" w:rsidR="00DA67DD" w:rsidRPr="0083292E" w:rsidRDefault="00DA67DD" w:rsidP="00DA67DD">
      <w:pPr>
        <w:rPr>
          <w:rFonts w:cs="Times New Roman"/>
          <w:sz w:val="20"/>
          <w:szCs w:val="20"/>
        </w:rPr>
      </w:pPr>
    </w:p>
    <w:p w14:paraId="2F82D9CB" w14:textId="77777777" w:rsidR="00DA67DD" w:rsidRPr="0083292E" w:rsidRDefault="00DA67DD" w:rsidP="00DA67DD">
      <w:pPr>
        <w:rPr>
          <w:rFonts w:cs="Times New Roman"/>
          <w:sz w:val="20"/>
          <w:szCs w:val="20"/>
        </w:rPr>
      </w:pPr>
      <w:r w:rsidRPr="0083292E">
        <w:rPr>
          <w:rFonts w:cs="Times New Roman"/>
          <w:noProof/>
          <w:sz w:val="20"/>
          <w:szCs w:val="20"/>
        </w:rPr>
        <w:drawing>
          <wp:anchor distT="0" distB="0" distL="114300" distR="114300" simplePos="0" relativeHeight="251666432" behindDoc="0" locked="0" layoutInCell="1" hidden="0" allowOverlap="1" wp14:anchorId="7AFF18F6" wp14:editId="276D9678">
            <wp:simplePos x="0" y="0"/>
            <wp:positionH relativeFrom="column">
              <wp:posOffset>127141</wp:posOffset>
            </wp:positionH>
            <wp:positionV relativeFrom="paragraph">
              <wp:posOffset>57150</wp:posOffset>
            </wp:positionV>
            <wp:extent cx="625475" cy="524510"/>
            <wp:effectExtent l="0" t="0" r="0" b="0"/>
            <wp:wrapSquare wrapText="bothSides" distT="0" distB="0" distL="114300" distR="114300"/>
            <wp:docPr id="1351153216" name="Image 1351153216" descr="Une image contenant texte, roue, vitess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8.png" descr="Une image contenant texte, roue, vitesse&#10;&#10;Description générée automatiquement"/>
                    <pic:cNvPicPr preferRelativeResize="0"/>
                  </pic:nvPicPr>
                  <pic:blipFill>
                    <a:blip r:embed="rId25"/>
                    <a:srcRect/>
                    <a:stretch>
                      <a:fillRect/>
                    </a:stretch>
                  </pic:blipFill>
                  <pic:spPr>
                    <a:xfrm>
                      <a:off x="0" y="0"/>
                      <a:ext cx="625475" cy="524510"/>
                    </a:xfrm>
                    <a:prstGeom prst="rect">
                      <a:avLst/>
                    </a:prstGeom>
                    <a:ln/>
                  </pic:spPr>
                </pic:pic>
              </a:graphicData>
            </a:graphic>
            <wp14:sizeRelH relativeFrom="margin">
              <wp14:pctWidth>0</wp14:pctWidth>
            </wp14:sizeRelH>
            <wp14:sizeRelV relativeFrom="margin">
              <wp14:pctHeight>0</wp14:pctHeight>
            </wp14:sizeRelV>
          </wp:anchor>
        </w:drawing>
      </w:r>
    </w:p>
    <w:p w14:paraId="49EA1650" w14:textId="77777777" w:rsidR="00DA67DD" w:rsidRPr="0083292E" w:rsidRDefault="00DA67DD" w:rsidP="00DA67DD">
      <w:pPr>
        <w:numPr>
          <w:ilvl w:val="3"/>
          <w:numId w:val="9"/>
        </w:numPr>
        <w:ind w:left="1710"/>
        <w:rPr>
          <w:rFonts w:cs="Times New Roman"/>
          <w:sz w:val="20"/>
          <w:szCs w:val="20"/>
        </w:rPr>
      </w:pPr>
      <w:r w:rsidRPr="0083292E">
        <w:rPr>
          <w:rFonts w:cs="Times New Roman"/>
          <w:b/>
          <w:sz w:val="20"/>
          <w:szCs w:val="20"/>
        </w:rPr>
        <w:t>What investments are included under “#2 Other”, what is their purpose and are there any minimum environmental or social safeguards?</w:t>
      </w:r>
    </w:p>
    <w:p w14:paraId="3466E589" w14:textId="77777777" w:rsidR="00DA67DD" w:rsidRPr="0083292E" w:rsidRDefault="00DA67DD" w:rsidP="00DA67DD">
      <w:pPr>
        <w:ind w:left="567"/>
        <w:rPr>
          <w:rFonts w:cs="Times New Roman"/>
          <w:sz w:val="20"/>
          <w:szCs w:val="20"/>
        </w:rPr>
      </w:pPr>
    </w:p>
    <w:p w14:paraId="6A8096E1" w14:textId="77777777" w:rsidR="00DA67DD" w:rsidRPr="0083292E" w:rsidRDefault="00DA67DD" w:rsidP="00DA67DD">
      <w:pPr>
        <w:spacing w:line="257" w:lineRule="auto"/>
        <w:ind w:left="567"/>
        <w:rPr>
          <w:rFonts w:cs="Times New Roman"/>
          <w:sz w:val="20"/>
          <w:szCs w:val="20"/>
          <w:lang w:val="en-US"/>
        </w:rPr>
      </w:pPr>
      <w:r w:rsidRPr="0083292E">
        <w:rPr>
          <w:rFonts w:eastAsia="Source Sans Pro" w:cs="Times New Roman"/>
          <w:sz w:val="20"/>
          <w:szCs w:val="20"/>
        </w:rPr>
        <w:t>The only investments included under ‘#2 Other’ are the placement of the available cash of the product. Elaia Partners privileges a prudent management of the Fund’s available cash that will be intended to be invested in various types of medium such as: short term negotiable securities (Negotiable European Commercial Paper), shares or units in money-market and short-term money-market AIFs and collective investment undertakings (in accordance with Regulation (EU) 2017/1131) selected by the Management Company on the basis of rating criteria which satisfy the desired risk profile. There are no minimal environmental or social safeguards for such placements.</w:t>
      </w:r>
    </w:p>
    <w:p w14:paraId="622914F8" w14:textId="77777777" w:rsidR="00DA67DD" w:rsidRPr="0083292E" w:rsidRDefault="00DA67DD" w:rsidP="00DA67DD">
      <w:pPr>
        <w:rPr>
          <w:rFonts w:cs="Times New Roman"/>
          <w:sz w:val="20"/>
          <w:szCs w:val="20"/>
          <w:lang w:val="en-US"/>
        </w:rPr>
      </w:pPr>
    </w:p>
    <w:p w14:paraId="5D166920" w14:textId="77777777" w:rsidR="00DA67DD" w:rsidRPr="0083292E" w:rsidRDefault="00DA67DD" w:rsidP="00DA67DD">
      <w:pPr>
        <w:rPr>
          <w:rFonts w:cs="Times New Roman"/>
          <w:sz w:val="20"/>
          <w:szCs w:val="20"/>
          <w:lang w:val="en-US"/>
        </w:rPr>
      </w:pPr>
    </w:p>
    <w:p w14:paraId="3FCBD434" w14:textId="77777777" w:rsidR="00DA67DD" w:rsidRPr="0083292E" w:rsidRDefault="00DA67DD" w:rsidP="00DA67DD">
      <w:pPr>
        <w:ind w:left="567"/>
        <w:rPr>
          <w:rFonts w:cs="Times New Roman"/>
          <w:sz w:val="20"/>
          <w:szCs w:val="20"/>
        </w:rPr>
      </w:pPr>
    </w:p>
    <w:p w14:paraId="0998B818" w14:textId="77777777" w:rsidR="00DA67DD" w:rsidRPr="0083292E" w:rsidRDefault="00DA67DD" w:rsidP="00DA67DD">
      <w:pPr>
        <w:numPr>
          <w:ilvl w:val="3"/>
          <w:numId w:val="9"/>
        </w:numPr>
        <w:ind w:left="1843" w:hanging="425"/>
        <w:rPr>
          <w:rFonts w:cs="Times New Roman"/>
          <w:sz w:val="20"/>
          <w:szCs w:val="20"/>
        </w:rPr>
      </w:pPr>
      <w:r w:rsidRPr="0083292E">
        <w:rPr>
          <w:rFonts w:cs="Times New Roman"/>
          <w:noProof/>
          <w:sz w:val="20"/>
          <w:szCs w:val="20"/>
        </w:rPr>
        <w:drawing>
          <wp:anchor distT="0" distB="0" distL="114300" distR="114300" simplePos="0" relativeHeight="251667456" behindDoc="1" locked="0" layoutInCell="1" hidden="0" allowOverlap="1" wp14:anchorId="3232523C" wp14:editId="4F899D11">
            <wp:simplePos x="0" y="0"/>
            <wp:positionH relativeFrom="column">
              <wp:posOffset>-44450</wp:posOffset>
            </wp:positionH>
            <wp:positionV relativeFrom="paragraph">
              <wp:posOffset>27305</wp:posOffset>
            </wp:positionV>
            <wp:extent cx="916305" cy="466725"/>
            <wp:effectExtent l="0" t="0" r="0" b="3175"/>
            <wp:wrapNone/>
            <wp:docPr id="359390960" name="Image 359390960" descr="Une image contenant symbole, logo, blanc&#10;&#10;Description générée automatiquement"/>
            <wp:cNvGraphicFramePr/>
            <a:graphic xmlns:a="http://schemas.openxmlformats.org/drawingml/2006/main">
              <a:graphicData uri="http://schemas.openxmlformats.org/drawingml/2006/picture">
                <pic:pic xmlns:pic="http://schemas.openxmlformats.org/drawingml/2006/picture">
                  <pic:nvPicPr>
                    <pic:cNvPr id="13" name="image4.png" descr="Une image contenant symbole, logo, blanc&#10;&#10;Description générée automatiquement"/>
                    <pic:cNvPicPr preferRelativeResize="0"/>
                  </pic:nvPicPr>
                  <pic:blipFill>
                    <a:blip r:embed="rId26"/>
                    <a:srcRect/>
                    <a:stretch>
                      <a:fillRect/>
                    </a:stretch>
                  </pic:blipFill>
                  <pic:spPr>
                    <a:xfrm>
                      <a:off x="0" y="0"/>
                      <a:ext cx="916305" cy="466725"/>
                    </a:xfrm>
                    <a:prstGeom prst="rect">
                      <a:avLst/>
                    </a:prstGeom>
                    <a:ln/>
                  </pic:spPr>
                </pic:pic>
              </a:graphicData>
            </a:graphic>
          </wp:anchor>
        </w:drawing>
      </w:r>
      <w:r w:rsidRPr="0083292E">
        <w:rPr>
          <w:rFonts w:cs="Times New Roman"/>
          <w:b/>
          <w:sz w:val="20"/>
          <w:szCs w:val="20"/>
        </w:rPr>
        <w:t>Is a specific index designated as a reference benchmark to determine whether this financial product is aligned with the environmental and/or social characteristics that it promotes?</w:t>
      </w:r>
    </w:p>
    <w:p w14:paraId="42DB2518" w14:textId="77777777" w:rsidR="00DA67DD" w:rsidRPr="0083292E" w:rsidRDefault="00DA67DD" w:rsidP="00DA67DD">
      <w:pPr>
        <w:ind w:left="567"/>
        <w:rPr>
          <w:rFonts w:cs="Times New Roman"/>
          <w:sz w:val="20"/>
          <w:szCs w:val="20"/>
        </w:rPr>
      </w:pPr>
    </w:p>
    <w:p w14:paraId="6C2AE248" w14:textId="77777777" w:rsidR="00DA67DD" w:rsidRPr="0083292E" w:rsidRDefault="00DA67DD" w:rsidP="00DA67DD">
      <w:pPr>
        <w:ind w:left="567" w:hanging="141"/>
        <w:rPr>
          <w:rFonts w:cs="Times New Roman"/>
          <w:sz w:val="20"/>
          <w:szCs w:val="20"/>
        </w:rPr>
      </w:pPr>
      <w:r w:rsidRPr="0083292E">
        <w:rPr>
          <w:rFonts w:cs="Times New Roman"/>
          <w:sz w:val="20"/>
          <w:szCs w:val="20"/>
        </w:rPr>
        <w:t>No specific index has been designated.</w:t>
      </w:r>
    </w:p>
    <w:p w14:paraId="4437D8D2" w14:textId="77777777" w:rsidR="00DA67DD" w:rsidRPr="0083292E" w:rsidRDefault="00DA67DD" w:rsidP="00DA67DD">
      <w:pPr>
        <w:ind w:left="567"/>
        <w:rPr>
          <w:rFonts w:cs="Times New Roman"/>
          <w:sz w:val="20"/>
          <w:szCs w:val="20"/>
          <w:u w:val="single"/>
        </w:rPr>
      </w:pPr>
      <w:r w:rsidRPr="0083292E">
        <w:rPr>
          <w:rFonts w:cs="Times New Roman"/>
          <w:sz w:val="20"/>
          <w:szCs w:val="20"/>
        </w:rPr>
        <w:t xml:space="preserve"> </w:t>
      </w:r>
    </w:p>
    <w:p w14:paraId="2D85C316" w14:textId="77777777" w:rsidR="00DA67DD" w:rsidRPr="0083292E" w:rsidRDefault="00DA67DD" w:rsidP="00DA67DD">
      <w:pPr>
        <w:numPr>
          <w:ilvl w:val="1"/>
          <w:numId w:val="7"/>
        </w:numPr>
        <w:spacing w:after="200"/>
        <w:ind w:left="567" w:firstLine="0"/>
        <w:rPr>
          <w:rFonts w:cs="Times New Roman"/>
          <w:sz w:val="20"/>
          <w:szCs w:val="20"/>
        </w:rPr>
      </w:pPr>
      <w:r w:rsidRPr="0083292E">
        <w:rPr>
          <w:rFonts w:cs="Times New Roman"/>
          <w:i/>
          <w:sz w:val="20"/>
          <w:szCs w:val="20"/>
        </w:rPr>
        <w:t>How is the reference benchmark continuously aligned with each of the environmental and/or social characteristics promoted by the financial product?</w:t>
      </w:r>
    </w:p>
    <w:p w14:paraId="7F99F1D0" w14:textId="77777777" w:rsidR="00DA67DD" w:rsidRPr="0083292E" w:rsidRDefault="00DA67DD" w:rsidP="00DA67DD">
      <w:pPr>
        <w:spacing w:after="200"/>
        <w:ind w:left="567"/>
        <w:rPr>
          <w:rFonts w:cs="Times New Roman"/>
          <w:sz w:val="20"/>
          <w:szCs w:val="20"/>
        </w:rPr>
      </w:pPr>
      <w:r w:rsidRPr="0083292E">
        <w:rPr>
          <w:rFonts w:cs="Times New Roman"/>
          <w:sz w:val="20"/>
          <w:szCs w:val="20"/>
        </w:rPr>
        <w:t>Not applicable.</w:t>
      </w:r>
    </w:p>
    <w:p w14:paraId="4FDEBC10" w14:textId="77777777" w:rsidR="00DA67DD" w:rsidRPr="0083292E" w:rsidRDefault="00DA67DD" w:rsidP="00DA67DD">
      <w:pPr>
        <w:numPr>
          <w:ilvl w:val="1"/>
          <w:numId w:val="7"/>
        </w:numPr>
        <w:spacing w:after="200"/>
        <w:ind w:left="567" w:firstLine="0"/>
        <w:rPr>
          <w:rFonts w:cs="Times New Roman"/>
          <w:sz w:val="20"/>
          <w:szCs w:val="20"/>
        </w:rPr>
      </w:pPr>
      <w:r w:rsidRPr="0083292E">
        <w:rPr>
          <w:rFonts w:cs="Times New Roman"/>
          <w:i/>
          <w:sz w:val="20"/>
          <w:szCs w:val="20"/>
        </w:rPr>
        <w:t>How is the alignment of the investment strategy with the methodology of the index ensured on a continuous basis?</w:t>
      </w:r>
    </w:p>
    <w:p w14:paraId="2EE18343" w14:textId="77777777" w:rsidR="00DA67DD" w:rsidRPr="0083292E" w:rsidRDefault="00DA67DD" w:rsidP="00DA67DD">
      <w:pPr>
        <w:spacing w:after="200"/>
        <w:ind w:left="567"/>
        <w:rPr>
          <w:rFonts w:cs="Times New Roman"/>
          <w:sz w:val="20"/>
          <w:szCs w:val="20"/>
        </w:rPr>
      </w:pPr>
      <w:r w:rsidRPr="0083292E">
        <w:rPr>
          <w:rFonts w:cs="Times New Roman"/>
          <w:sz w:val="20"/>
          <w:szCs w:val="20"/>
        </w:rPr>
        <w:t>Not applicable.</w:t>
      </w:r>
    </w:p>
    <w:p w14:paraId="1C7565D4" w14:textId="77777777" w:rsidR="00DA67DD" w:rsidRPr="0083292E" w:rsidRDefault="00DA67DD" w:rsidP="00DA67DD">
      <w:pPr>
        <w:numPr>
          <w:ilvl w:val="1"/>
          <w:numId w:val="7"/>
        </w:numPr>
        <w:spacing w:after="200"/>
        <w:ind w:left="567" w:firstLine="0"/>
        <w:rPr>
          <w:rFonts w:cs="Times New Roman"/>
          <w:sz w:val="20"/>
          <w:szCs w:val="20"/>
        </w:rPr>
      </w:pPr>
      <w:r w:rsidRPr="0083292E">
        <w:rPr>
          <w:rFonts w:cs="Times New Roman"/>
          <w:i/>
          <w:sz w:val="20"/>
          <w:szCs w:val="20"/>
        </w:rPr>
        <w:t>How does the designated index differ from a relevant broad market index?</w:t>
      </w:r>
    </w:p>
    <w:p w14:paraId="5ED02A3D" w14:textId="77777777" w:rsidR="00DA67DD" w:rsidRPr="0083292E" w:rsidRDefault="00DA67DD" w:rsidP="00DA67DD">
      <w:pPr>
        <w:spacing w:after="200"/>
        <w:ind w:left="567"/>
        <w:rPr>
          <w:rFonts w:cs="Times New Roman"/>
          <w:i/>
          <w:sz w:val="20"/>
          <w:szCs w:val="20"/>
          <w:u w:val="single"/>
        </w:rPr>
      </w:pPr>
      <w:r w:rsidRPr="0083292E">
        <w:rPr>
          <w:rFonts w:cs="Times New Roman"/>
          <w:sz w:val="20"/>
          <w:szCs w:val="20"/>
        </w:rPr>
        <w:t>Not applicable.</w:t>
      </w:r>
    </w:p>
    <w:p w14:paraId="72F15726" w14:textId="77777777" w:rsidR="00DA67DD" w:rsidRPr="0083292E" w:rsidRDefault="00DA67DD" w:rsidP="00DA67DD">
      <w:pPr>
        <w:numPr>
          <w:ilvl w:val="1"/>
          <w:numId w:val="7"/>
        </w:numPr>
        <w:spacing w:after="200"/>
        <w:ind w:left="567" w:firstLine="0"/>
        <w:rPr>
          <w:rFonts w:cs="Times New Roman"/>
          <w:sz w:val="20"/>
          <w:szCs w:val="20"/>
        </w:rPr>
      </w:pPr>
      <w:r w:rsidRPr="0083292E">
        <w:rPr>
          <w:rFonts w:cs="Times New Roman"/>
          <w:i/>
          <w:sz w:val="20"/>
          <w:szCs w:val="20"/>
        </w:rPr>
        <w:t>Where can the methodology used for the calculation of the designated index be found?</w:t>
      </w:r>
    </w:p>
    <w:p w14:paraId="2FA949B6" w14:textId="77777777" w:rsidR="00DA67DD" w:rsidRPr="0083292E" w:rsidRDefault="00DA67DD" w:rsidP="00DA67DD">
      <w:pPr>
        <w:ind w:left="567"/>
        <w:rPr>
          <w:rFonts w:cs="Times New Roman"/>
          <w:sz w:val="20"/>
          <w:szCs w:val="20"/>
        </w:rPr>
      </w:pPr>
      <w:r w:rsidRPr="0083292E">
        <w:rPr>
          <w:rFonts w:cs="Times New Roman"/>
          <w:sz w:val="20"/>
          <w:szCs w:val="20"/>
        </w:rPr>
        <w:t>Not applicable.</w:t>
      </w:r>
    </w:p>
    <w:p w14:paraId="0C7D9D2B" w14:textId="77777777" w:rsidR="00DA67DD" w:rsidRPr="0083292E" w:rsidRDefault="00DA67DD" w:rsidP="00DA67DD">
      <w:pPr>
        <w:rPr>
          <w:rFonts w:cs="Times New Roman"/>
          <w:sz w:val="20"/>
          <w:szCs w:val="20"/>
        </w:rPr>
      </w:pPr>
    </w:p>
    <w:p w14:paraId="4A032A20" w14:textId="77777777" w:rsidR="00DA67DD" w:rsidRPr="0083292E" w:rsidRDefault="00DA67DD" w:rsidP="00DA67DD">
      <w:pPr>
        <w:rPr>
          <w:rFonts w:cs="Times New Roman"/>
          <w:sz w:val="20"/>
          <w:szCs w:val="20"/>
        </w:rPr>
      </w:pPr>
      <w:r w:rsidRPr="0083292E">
        <w:rPr>
          <w:rFonts w:cs="Times New Roman"/>
          <w:noProof/>
          <w:sz w:val="20"/>
          <w:szCs w:val="20"/>
        </w:rPr>
        <w:drawing>
          <wp:anchor distT="0" distB="0" distL="114300" distR="114300" simplePos="0" relativeHeight="251668480" behindDoc="1" locked="0" layoutInCell="1" hidden="0" allowOverlap="1" wp14:anchorId="6D5B63C6" wp14:editId="660F9186">
            <wp:simplePos x="0" y="0"/>
            <wp:positionH relativeFrom="column">
              <wp:posOffset>-44613</wp:posOffset>
            </wp:positionH>
            <wp:positionV relativeFrom="paragraph">
              <wp:posOffset>95250</wp:posOffset>
            </wp:positionV>
            <wp:extent cx="980872" cy="523875"/>
            <wp:effectExtent l="0" t="0" r="0" b="0"/>
            <wp:wrapNone/>
            <wp:docPr id="805121351" name="Image 805121351" descr="Une image contenant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6.png" descr="Une image contenant symbole&#10;&#10;Description générée automatiquement"/>
                    <pic:cNvPicPr preferRelativeResize="0"/>
                  </pic:nvPicPr>
                  <pic:blipFill>
                    <a:blip r:embed="rId27"/>
                    <a:srcRect/>
                    <a:stretch>
                      <a:fillRect/>
                    </a:stretch>
                  </pic:blipFill>
                  <pic:spPr>
                    <a:xfrm>
                      <a:off x="0" y="0"/>
                      <a:ext cx="980872" cy="523875"/>
                    </a:xfrm>
                    <a:prstGeom prst="rect">
                      <a:avLst/>
                    </a:prstGeom>
                    <a:ln/>
                  </pic:spPr>
                </pic:pic>
              </a:graphicData>
            </a:graphic>
          </wp:anchor>
        </w:drawing>
      </w:r>
    </w:p>
    <w:p w14:paraId="7673ED9B" w14:textId="77777777" w:rsidR="00DA67DD" w:rsidRPr="0083292E" w:rsidRDefault="00DA67DD" w:rsidP="00DA67DD">
      <w:pPr>
        <w:ind w:left="567"/>
        <w:rPr>
          <w:rFonts w:cs="Times New Roman"/>
          <w:sz w:val="20"/>
          <w:szCs w:val="20"/>
        </w:rPr>
      </w:pPr>
    </w:p>
    <w:p w14:paraId="586F474C" w14:textId="77777777" w:rsidR="00DA67DD" w:rsidRPr="0083292E" w:rsidRDefault="00DA67DD" w:rsidP="00DA67DD">
      <w:pPr>
        <w:numPr>
          <w:ilvl w:val="3"/>
          <w:numId w:val="8"/>
        </w:numPr>
        <w:ind w:left="1985" w:hanging="425"/>
        <w:rPr>
          <w:rFonts w:cs="Times New Roman"/>
          <w:sz w:val="20"/>
          <w:szCs w:val="20"/>
        </w:rPr>
      </w:pPr>
      <w:r w:rsidRPr="0083292E">
        <w:rPr>
          <w:rFonts w:cs="Times New Roman"/>
          <w:b/>
          <w:sz w:val="20"/>
          <w:szCs w:val="20"/>
        </w:rPr>
        <w:t>Where can I find more product specific information online?</w:t>
      </w:r>
    </w:p>
    <w:p w14:paraId="400F0F58" w14:textId="77777777" w:rsidR="00DA67DD" w:rsidRPr="0083292E" w:rsidRDefault="00DA67DD" w:rsidP="00DA67DD">
      <w:pPr>
        <w:ind w:left="1980"/>
        <w:rPr>
          <w:rFonts w:cs="Times New Roman"/>
          <w:b/>
          <w:sz w:val="20"/>
          <w:szCs w:val="20"/>
        </w:rPr>
      </w:pPr>
    </w:p>
    <w:p w14:paraId="1CCC698E" w14:textId="77777777" w:rsidR="00DA67DD" w:rsidRDefault="00DA67DD" w:rsidP="00DA67DD">
      <w:pPr>
        <w:ind w:left="426"/>
        <w:rPr>
          <w:rFonts w:cs="Times New Roman"/>
          <w:sz w:val="20"/>
          <w:szCs w:val="20"/>
        </w:rPr>
      </w:pPr>
    </w:p>
    <w:p w14:paraId="68FA241B" w14:textId="77777777" w:rsidR="00DA67DD" w:rsidRDefault="00DA67DD" w:rsidP="00DA67DD">
      <w:pPr>
        <w:ind w:left="567"/>
        <w:rPr>
          <w:rFonts w:cs="Times New Roman"/>
          <w:sz w:val="20"/>
          <w:szCs w:val="20"/>
        </w:rPr>
      </w:pPr>
    </w:p>
    <w:p w14:paraId="7ABDFA2A" w14:textId="51E70FC6" w:rsidR="00795FF8" w:rsidRPr="00C82A8C" w:rsidRDefault="00DA67DD" w:rsidP="00C82A8C">
      <w:pPr>
        <w:ind w:left="567"/>
        <w:rPr>
          <w:rFonts w:cs="Times New Roman"/>
          <w:b/>
          <w:sz w:val="20"/>
          <w:szCs w:val="20"/>
        </w:rPr>
      </w:pPr>
      <w:r w:rsidRPr="0083292E">
        <w:rPr>
          <w:rFonts w:cs="Times New Roman"/>
          <w:sz w:val="20"/>
          <w:szCs w:val="20"/>
        </w:rPr>
        <w:t xml:space="preserve">Unit holders may find more information related to the ESG criteria taken into account by the Management Company on its website: </w:t>
      </w:r>
      <w:hyperlink r:id="rId28" w:history="1">
        <w:r w:rsidRPr="0083292E">
          <w:rPr>
            <w:rStyle w:val="Lienhypertexte"/>
            <w:rFonts w:eastAsiaTheme="majorEastAsia"/>
            <w:sz w:val="20"/>
            <w:szCs w:val="20"/>
          </w:rPr>
          <w:t>http://www.elaia.com</w:t>
        </w:r>
      </w:hyperlink>
      <w:r w:rsidRPr="0083292E">
        <w:rPr>
          <w:rFonts w:cs="Times New Roman"/>
          <w:sz w:val="20"/>
          <w:szCs w:val="20"/>
        </w:rPr>
        <w:t>.</w:t>
      </w:r>
    </w:p>
    <w:sectPr w:rsidR="00795FF8" w:rsidRPr="00C8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viar Dreams">
    <w:altName w:val="Calibri"/>
    <w:panose1 w:val="020B0604020202020204"/>
    <w:charset w:val="00"/>
    <w:family w:val="swiss"/>
    <w:pitch w:val="variable"/>
    <w:sig w:usb0="A00002AF" w:usb1="500000E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C8F"/>
    <w:multiLevelType w:val="hybridMultilevel"/>
    <w:tmpl w:val="C1E27882"/>
    <w:lvl w:ilvl="0" w:tplc="FFFFFFFF">
      <w:start w:val="1"/>
      <w:numFmt w:val="bullet"/>
      <w:lvlText w:val="-"/>
      <w:lvlJc w:val="left"/>
      <w:pPr>
        <w:ind w:left="720" w:hanging="360"/>
      </w:pPr>
      <w:rPr>
        <w:rFonts w:ascii="Source Sans Pro" w:hAnsi="Source Sans Pro"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D5F3B"/>
    <w:multiLevelType w:val="multilevel"/>
    <w:tmpl w:val="3DF43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E8444A"/>
    <w:multiLevelType w:val="multilevel"/>
    <w:tmpl w:val="28C8CDC8"/>
    <w:lvl w:ilvl="0">
      <w:start w:val="10"/>
      <w:numFmt w:val="decimal"/>
      <w:lvlText w:val="%1."/>
      <w:lvlJc w:val="left"/>
      <w:pPr>
        <w:ind w:left="480" w:hanging="480"/>
      </w:pPr>
    </w:lvl>
    <w:lvl w:ilvl="1">
      <w:start w:val="1"/>
      <w:numFmt w:val="decimal"/>
      <w:lvlText w:val="%1.%2."/>
      <w:lvlJc w:val="left"/>
      <w:pPr>
        <w:ind w:left="480" w:hanging="480"/>
      </w:pPr>
      <w:rPr>
        <w: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E44C9B"/>
    <w:multiLevelType w:val="multilevel"/>
    <w:tmpl w:val="2F483AE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1"/>
      <w:numFmt w:val="decimal"/>
      <w:lvlText w:val="%4."/>
      <w:lvlJc w:val="left"/>
      <w:pPr>
        <w:ind w:left="19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524E79"/>
    <w:multiLevelType w:val="multilevel"/>
    <w:tmpl w:val="98406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F56F3"/>
    <w:multiLevelType w:val="multilevel"/>
    <w:tmpl w:val="D02A6620"/>
    <w:lvl w:ilvl="0">
      <w:start w:val="1"/>
      <w:numFmt w:val="decimal"/>
      <w:lvlText w:val="%1."/>
      <w:lvlJc w:val="left"/>
      <w:pPr>
        <w:ind w:left="207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222E6B2C"/>
    <w:multiLevelType w:val="multilevel"/>
    <w:tmpl w:val="91AC00C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6"/>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AE06F2"/>
    <w:multiLevelType w:val="multilevel"/>
    <w:tmpl w:val="56243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352129"/>
    <w:multiLevelType w:val="multilevel"/>
    <w:tmpl w:val="B71E67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5"/>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4465CE"/>
    <w:multiLevelType w:val="multilevel"/>
    <w:tmpl w:val="412E0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FE4D13"/>
    <w:multiLevelType w:val="multilevel"/>
    <w:tmpl w:val="30B4C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D92878"/>
    <w:multiLevelType w:val="multilevel"/>
    <w:tmpl w:val="980ED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A142DA"/>
    <w:multiLevelType w:val="multilevel"/>
    <w:tmpl w:val="AD9005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4"/>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3C517A"/>
    <w:multiLevelType w:val="hybridMultilevel"/>
    <w:tmpl w:val="FFFFFFFF"/>
    <w:lvl w:ilvl="0" w:tplc="53682562">
      <w:start w:val="1"/>
      <w:numFmt w:val="bullet"/>
      <w:lvlText w:val=""/>
      <w:lvlJc w:val="left"/>
      <w:pPr>
        <w:ind w:left="720" w:hanging="360"/>
      </w:pPr>
      <w:rPr>
        <w:rFonts w:ascii="Symbol" w:hAnsi="Symbol" w:hint="default"/>
      </w:rPr>
    </w:lvl>
    <w:lvl w:ilvl="1" w:tplc="7BCCAC80">
      <w:start w:val="1"/>
      <w:numFmt w:val="bullet"/>
      <w:lvlText w:val="o"/>
      <w:lvlJc w:val="left"/>
      <w:pPr>
        <w:ind w:left="1440" w:hanging="360"/>
      </w:pPr>
      <w:rPr>
        <w:rFonts w:ascii="Courier New" w:hAnsi="Courier New" w:hint="default"/>
      </w:rPr>
    </w:lvl>
    <w:lvl w:ilvl="2" w:tplc="1B283F96">
      <w:start w:val="1"/>
      <w:numFmt w:val="bullet"/>
      <w:lvlText w:val=""/>
      <w:lvlJc w:val="left"/>
      <w:pPr>
        <w:ind w:left="2160" w:hanging="360"/>
      </w:pPr>
      <w:rPr>
        <w:rFonts w:ascii="Wingdings" w:hAnsi="Wingdings" w:hint="default"/>
      </w:rPr>
    </w:lvl>
    <w:lvl w:ilvl="3" w:tplc="E4763FA6">
      <w:start w:val="1"/>
      <w:numFmt w:val="bullet"/>
      <w:lvlText w:val=""/>
      <w:lvlJc w:val="left"/>
      <w:pPr>
        <w:ind w:left="2880" w:hanging="360"/>
      </w:pPr>
      <w:rPr>
        <w:rFonts w:ascii="Symbol" w:hAnsi="Symbol" w:hint="default"/>
      </w:rPr>
    </w:lvl>
    <w:lvl w:ilvl="4" w:tplc="2D9E89A0">
      <w:start w:val="1"/>
      <w:numFmt w:val="bullet"/>
      <w:lvlText w:val="o"/>
      <w:lvlJc w:val="left"/>
      <w:pPr>
        <w:ind w:left="3600" w:hanging="360"/>
      </w:pPr>
      <w:rPr>
        <w:rFonts w:ascii="Courier New" w:hAnsi="Courier New" w:hint="default"/>
      </w:rPr>
    </w:lvl>
    <w:lvl w:ilvl="5" w:tplc="1F822EB4">
      <w:start w:val="1"/>
      <w:numFmt w:val="bullet"/>
      <w:lvlText w:val=""/>
      <w:lvlJc w:val="left"/>
      <w:pPr>
        <w:ind w:left="4320" w:hanging="360"/>
      </w:pPr>
      <w:rPr>
        <w:rFonts w:ascii="Wingdings" w:hAnsi="Wingdings" w:hint="default"/>
      </w:rPr>
    </w:lvl>
    <w:lvl w:ilvl="6" w:tplc="09041886">
      <w:start w:val="1"/>
      <w:numFmt w:val="bullet"/>
      <w:lvlText w:val=""/>
      <w:lvlJc w:val="left"/>
      <w:pPr>
        <w:ind w:left="5040" w:hanging="360"/>
      </w:pPr>
      <w:rPr>
        <w:rFonts w:ascii="Symbol" w:hAnsi="Symbol" w:hint="default"/>
      </w:rPr>
    </w:lvl>
    <w:lvl w:ilvl="7" w:tplc="23388756">
      <w:start w:val="1"/>
      <w:numFmt w:val="bullet"/>
      <w:lvlText w:val="o"/>
      <w:lvlJc w:val="left"/>
      <w:pPr>
        <w:ind w:left="5760" w:hanging="360"/>
      </w:pPr>
      <w:rPr>
        <w:rFonts w:ascii="Courier New" w:hAnsi="Courier New" w:hint="default"/>
      </w:rPr>
    </w:lvl>
    <w:lvl w:ilvl="8" w:tplc="6318F87C">
      <w:start w:val="1"/>
      <w:numFmt w:val="bullet"/>
      <w:lvlText w:val=""/>
      <w:lvlJc w:val="left"/>
      <w:pPr>
        <w:ind w:left="6480" w:hanging="360"/>
      </w:pPr>
      <w:rPr>
        <w:rFonts w:ascii="Wingdings" w:hAnsi="Wingdings" w:hint="default"/>
      </w:rPr>
    </w:lvl>
  </w:abstractNum>
  <w:abstractNum w:abstractNumId="15" w15:restartNumberingAfterBreak="0">
    <w:nsid w:val="4F8E413A"/>
    <w:multiLevelType w:val="hybridMultilevel"/>
    <w:tmpl w:val="09C05A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2912"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0D04C5"/>
    <w:multiLevelType w:val="multilevel"/>
    <w:tmpl w:val="76A643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72D7165"/>
    <w:multiLevelType w:val="multilevel"/>
    <w:tmpl w:val="E670F0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7"/>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5E4AD5"/>
    <w:multiLevelType w:val="hybridMultilevel"/>
    <w:tmpl w:val="5E2050F2"/>
    <w:lvl w:ilvl="0" w:tplc="A538FC2C">
      <w:start w:val="2"/>
      <w:numFmt w:val="bullet"/>
      <w:lvlText w:val="-"/>
      <w:lvlJc w:val="left"/>
      <w:pPr>
        <w:ind w:left="720" w:hanging="360"/>
      </w:pPr>
      <w:rPr>
        <w:rFonts w:ascii="Source Sans Pro" w:eastAsia="Times New Roman" w:hAnsi="Source Sans Pro" w:cs="Times New Roman"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647898"/>
    <w:multiLevelType w:val="multilevel"/>
    <w:tmpl w:val="76A282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11697861">
    <w:abstractNumId w:val="16"/>
  </w:num>
  <w:num w:numId="2" w16cid:durableId="36396976">
    <w:abstractNumId w:val="19"/>
  </w:num>
  <w:num w:numId="3" w16cid:durableId="626475886">
    <w:abstractNumId w:val="12"/>
  </w:num>
  <w:num w:numId="4" w16cid:durableId="1348213752">
    <w:abstractNumId w:val="5"/>
  </w:num>
  <w:num w:numId="5" w16cid:durableId="499662558">
    <w:abstractNumId w:val="13"/>
  </w:num>
  <w:num w:numId="6" w16cid:durableId="1206068669">
    <w:abstractNumId w:val="11"/>
  </w:num>
  <w:num w:numId="7" w16cid:durableId="165052290">
    <w:abstractNumId w:val="3"/>
  </w:num>
  <w:num w:numId="8" w16cid:durableId="1689747339">
    <w:abstractNumId w:val="4"/>
  </w:num>
  <w:num w:numId="9" w16cid:durableId="2063290990">
    <w:abstractNumId w:val="17"/>
  </w:num>
  <w:num w:numId="10" w16cid:durableId="467750071">
    <w:abstractNumId w:val="6"/>
  </w:num>
  <w:num w:numId="11" w16cid:durableId="1517694447">
    <w:abstractNumId w:val="2"/>
  </w:num>
  <w:num w:numId="12" w16cid:durableId="1707170297">
    <w:abstractNumId w:val="7"/>
  </w:num>
  <w:num w:numId="13" w16cid:durableId="600913281">
    <w:abstractNumId w:val="8"/>
  </w:num>
  <w:num w:numId="14" w16cid:durableId="1256286880">
    <w:abstractNumId w:val="9"/>
  </w:num>
  <w:num w:numId="15" w16cid:durableId="1260985016">
    <w:abstractNumId w:val="10"/>
  </w:num>
  <w:num w:numId="16" w16cid:durableId="267391329">
    <w:abstractNumId w:val="1"/>
  </w:num>
  <w:num w:numId="17" w16cid:durableId="1587880217">
    <w:abstractNumId w:val="18"/>
  </w:num>
  <w:num w:numId="18" w16cid:durableId="99763446">
    <w:abstractNumId w:val="15"/>
  </w:num>
  <w:num w:numId="19" w16cid:durableId="1125081402">
    <w:abstractNumId w:val="14"/>
  </w:num>
  <w:num w:numId="20" w16cid:durableId="1119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DD"/>
    <w:rsid w:val="002A645B"/>
    <w:rsid w:val="005C274C"/>
    <w:rsid w:val="006E495D"/>
    <w:rsid w:val="00795FF8"/>
    <w:rsid w:val="00C82A8C"/>
    <w:rsid w:val="00DA6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D0A187"/>
  <w15:chartTrackingRefBased/>
  <w15:docId w15:val="{EFEBE5BC-143F-AC4D-A9E4-1DCE2EDC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DD"/>
    <w:pPr>
      <w:jc w:val="both"/>
    </w:pPr>
    <w:rPr>
      <w:rFonts w:ascii="Times New Roman" w:eastAsia="Times New Roman" w:hAnsi="Times New Roman" w:cs="Arial"/>
      <w:kern w:val="0"/>
      <w:sz w:val="22"/>
      <w:szCs w:val="22"/>
      <w:lang w:val="en-GB" w:eastAsia="fr-FR"/>
      <w14:ligatures w14:val="none"/>
    </w:rPr>
  </w:style>
  <w:style w:type="paragraph" w:styleId="Titre1">
    <w:name w:val="heading 1"/>
    <w:basedOn w:val="Normal"/>
    <w:next w:val="Normal"/>
    <w:link w:val="Titre1Car"/>
    <w:uiPriority w:val="99"/>
    <w:qFormat/>
    <w:rsid w:val="00DA67DD"/>
    <w:pPr>
      <w:keepNext/>
      <w:widowControl w:val="0"/>
      <w:jc w:val="center"/>
      <w:outlineLvl w:val="0"/>
    </w:pPr>
    <w:rPr>
      <w:rFonts w:cs="Book Antiqua"/>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A67DD"/>
    <w:rPr>
      <w:rFonts w:ascii="Times New Roman" w:eastAsia="Times New Roman" w:hAnsi="Times New Roman" w:cs="Book Antiqua"/>
      <w:b/>
      <w:kern w:val="0"/>
      <w:sz w:val="22"/>
      <w:szCs w:val="20"/>
      <w:lang w:val="en-GB" w:eastAsia="fr-FR"/>
      <w14:ligatures w14:val="none"/>
    </w:rPr>
  </w:style>
  <w:style w:type="character" w:styleId="Lienhypertexte">
    <w:name w:val="Hyperlink"/>
    <w:basedOn w:val="Policepardfaut"/>
    <w:uiPriority w:val="99"/>
    <w:rsid w:val="00DA67DD"/>
    <w:rPr>
      <w:rFonts w:cs="Times New Roman"/>
      <w:color w:val="0000FF"/>
      <w:u w:val="single"/>
    </w:rPr>
  </w:style>
  <w:style w:type="paragraph" w:styleId="Paragraphedeliste">
    <w:name w:val="List Paragraph"/>
    <w:aliases w:val="Paragraphe EI,EC,Normal bullet 2,Bullet list,Numbered List,1st level - Bullet List Paragraph,Lettre d'introduction,Paragrafo elenco,Medium Grid 1 - Accent 21,List Paragraph11,Dot pt"/>
    <w:basedOn w:val="Normal"/>
    <w:link w:val="ParagraphedelisteCar"/>
    <w:uiPriority w:val="34"/>
    <w:qFormat/>
    <w:rsid w:val="00DA67DD"/>
    <w:pPr>
      <w:ind w:left="720"/>
    </w:pPr>
  </w:style>
  <w:style w:type="paragraph" w:customStyle="1" w:styleId="Listemoyenne2-Accent41">
    <w:name w:val="Liste moyenne 2 - Accent 41"/>
    <w:basedOn w:val="Normal"/>
    <w:uiPriority w:val="34"/>
    <w:qFormat/>
    <w:rsid w:val="00DA67DD"/>
    <w:pPr>
      <w:spacing w:after="200" w:line="276" w:lineRule="auto"/>
      <w:ind w:left="720"/>
      <w:contextualSpacing/>
      <w:jc w:val="left"/>
    </w:pPr>
    <w:rPr>
      <w:rFonts w:ascii="Calibri" w:eastAsia="MS Mincho" w:hAnsi="Calibri" w:cs="Times New Roman"/>
      <w:lang w:val="fr-FR"/>
    </w:rPr>
  </w:style>
  <w:style w:type="character" w:customStyle="1" w:styleId="ParagraphedelisteCar">
    <w:name w:val="Paragraphe de liste Car"/>
    <w:aliases w:val="Paragraphe EI Car,EC Car,Normal bullet 2 Car,Bullet list Car,Numbered List Car,1st level - Bullet List Paragraph Car,Lettre d'introduction Car,Paragrafo elenco Car,Medium Grid 1 - Accent 21 Car,List Paragraph11 Car,Dot pt Car"/>
    <w:basedOn w:val="Policepardfaut"/>
    <w:link w:val="Paragraphedeliste"/>
    <w:uiPriority w:val="34"/>
    <w:qFormat/>
    <w:locked/>
    <w:rsid w:val="00DA67DD"/>
    <w:rPr>
      <w:rFonts w:ascii="Times New Roman" w:eastAsia="Times New Roman" w:hAnsi="Times New Roman" w:cs="Arial"/>
      <w:kern w:val="0"/>
      <w:sz w:val="22"/>
      <w:szCs w:val="22"/>
      <w:lang w:val="en-GB" w:eastAsia="fr-FR"/>
      <w14:ligatures w14:val="none"/>
    </w:rPr>
  </w:style>
  <w:style w:type="paragraph" w:styleId="NormalWeb">
    <w:name w:val="Normal (Web)"/>
    <w:basedOn w:val="Normal"/>
    <w:uiPriority w:val="99"/>
    <w:unhideWhenUsed/>
    <w:rsid w:val="00DA67DD"/>
    <w:pPr>
      <w:spacing w:before="100" w:beforeAutospacing="1" w:after="100" w:afterAutospacing="1"/>
      <w:jc w:val="left"/>
    </w:pPr>
    <w:rPr>
      <w:rFonts w:cs="Times New Roman"/>
      <w:sz w:val="24"/>
      <w:szCs w:val="24"/>
      <w:lang w:val="fr-FR"/>
    </w:rPr>
  </w:style>
  <w:style w:type="table" w:customStyle="1" w:styleId="PlainTable11">
    <w:name w:val="Plain Table 11"/>
    <w:basedOn w:val="TableauNormal"/>
    <w:next w:val="Tableausimple1"/>
    <w:uiPriority w:val="41"/>
    <w:rsid w:val="00DA67DD"/>
    <w:rPr>
      <w:rFonts w:eastAsia="Times New Roman"/>
      <w:kern w:val="0"/>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1">
    <w:name w:val="Plain Table 1"/>
    <w:basedOn w:val="TableauNormal"/>
    <w:uiPriority w:val="41"/>
    <w:rsid w:val="00DA67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0.png"/><Relationship Id="rId7" Type="http://schemas.openxmlformats.org/officeDocument/2006/relationships/image" Target="media/image3.png"/><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sv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Data" Target="diagrams/data1.xml"/><Relationship Id="rId24" Type="http://schemas.openxmlformats.org/officeDocument/2006/relationships/image" Target="media/image11.png"/><Relationship Id="rId5" Type="http://schemas.openxmlformats.org/officeDocument/2006/relationships/image" Target="media/image1.png"/><Relationship Id="rId15" Type="http://schemas.microsoft.com/office/2007/relationships/diagramDrawing" Target="diagrams/drawing1.xml"/><Relationship Id="rId23" Type="http://schemas.openxmlformats.org/officeDocument/2006/relationships/image" Target="media/image10.png"/><Relationship Id="rId28" Type="http://schemas.openxmlformats.org/officeDocument/2006/relationships/hyperlink" Target="http://www.elaia.com" TargetMode="External"/><Relationship Id="rId10" Type="http://schemas.openxmlformats.org/officeDocument/2006/relationships/image" Target="media/image6.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Colors" Target="diagrams/colors1.xml"/><Relationship Id="rId22" Type="http://schemas.openxmlformats.org/officeDocument/2006/relationships/image" Target="media/image90.svg"/><Relationship Id="rId27" Type="http://schemas.openxmlformats.org/officeDocument/2006/relationships/image" Target="media/image14.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55494581133928411"/>
          <c:y val="0.35209443081909841"/>
          <c:w val="0.31252827806323763"/>
          <c:h val="0.40896232233265922"/>
        </c:manualLayout>
      </c:layout>
      <c:pieChart>
        <c:varyColors val="1"/>
        <c:ser>
          <c:idx val="0"/>
          <c:order val="0"/>
          <c:tx>
            <c:strRef>
              <c:f>Sheet1!$B$1</c:f>
              <c:strCache>
                <c:ptCount val="1"/>
                <c:pt idx="0">
                  <c:v>Taxonomy-aligned investments </c:v>
                </c:pt>
              </c:strCache>
            </c:strRef>
          </c:tx>
          <c:dPt>
            <c:idx val="0"/>
            <c:bubble3D val="0"/>
            <c:spPr>
              <a:solidFill>
                <a:srgbClr val="003300">
                  <a:alpha val="50000"/>
                </a:srgbClr>
              </a:solidFill>
              <a:ln w="19050">
                <a:noFill/>
              </a:ln>
              <a:effectLst/>
            </c:spPr>
            <c:extLst>
              <c:ext xmlns:c16="http://schemas.microsoft.com/office/drawing/2014/chart" uri="{C3380CC4-5D6E-409C-BE32-E72D297353CC}">
                <c16:uniqueId val="{00000001-A7D4-1041-B4E9-B537C7A51911}"/>
              </c:ext>
            </c:extLst>
          </c:dPt>
          <c:dPt>
            <c:idx val="1"/>
            <c:bubble3D val="0"/>
            <c:spPr>
              <a:solidFill>
                <a:srgbClr val="003300">
                  <a:alpha val="70000"/>
                </a:srgbClr>
              </a:solidFill>
              <a:ln w="19050">
                <a:noFill/>
              </a:ln>
              <a:effectLst/>
            </c:spPr>
            <c:extLst>
              <c:ext xmlns:c16="http://schemas.microsoft.com/office/drawing/2014/chart" uri="{C3380CC4-5D6E-409C-BE32-E72D297353CC}">
                <c16:uniqueId val="{00000003-A7D4-1041-B4E9-B537C7A51911}"/>
              </c:ext>
            </c:extLst>
          </c:dPt>
          <c:dPt>
            <c:idx val="2"/>
            <c:bubble3D val="0"/>
            <c:spPr>
              <a:solidFill>
                <a:srgbClr val="003300"/>
              </a:solidFill>
              <a:ln w="19050">
                <a:noFill/>
              </a:ln>
              <a:effectLst/>
            </c:spPr>
            <c:extLst>
              <c:ext xmlns:c16="http://schemas.microsoft.com/office/drawing/2014/chart" uri="{C3380CC4-5D6E-409C-BE32-E72D297353CC}">
                <c16:uniqueId val="{00000005-A7D4-1041-B4E9-B537C7A51911}"/>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A7D4-1041-B4E9-B537C7A51911}"/>
              </c:ext>
            </c:extLst>
          </c:dPt>
          <c:dLbls>
            <c:dLbl>
              <c:idx val="0"/>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A7D4-1041-B4E9-B537C7A51911}"/>
                </c:ext>
              </c:extLst>
            </c:dLbl>
            <c:dLbl>
              <c:idx val="1"/>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A7D4-1041-B4E9-B537C7A51911}"/>
                </c:ext>
              </c:extLst>
            </c:dLbl>
            <c:dLbl>
              <c:idx val="2"/>
              <c:layout>
                <c:manualLayout>
                  <c:x val="-1.2454404363151711E-2"/>
                  <c:y val="2.79818711185691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layout>
                    <c:manualLayout>
                      <c:w val="0.10765612121424686"/>
                      <c:h val="0.12375256371642068"/>
                    </c:manualLayout>
                  </c15:layout>
                  <c15:showDataLabelsRange val="0"/>
                </c:ext>
                <c:ext xmlns:c16="http://schemas.microsoft.com/office/drawing/2014/chart" uri="{C3380CC4-5D6E-409C-BE32-E72D297353CC}">
                  <c16:uniqueId val="{00000005-A7D4-1041-B4E9-B537C7A51911}"/>
                </c:ext>
              </c:extLst>
            </c:dLbl>
            <c:dLbl>
              <c:idx val="3"/>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A7D4-1041-B4E9-B537C7A519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 Taxonomy-aligned </c:v>
                </c:pt>
              </c:strCache>
            </c:strRef>
          </c:cat>
          <c:val>
            <c:numRef>
              <c:f>Sheet1!$B$2:$B$5</c:f>
              <c:numCache>
                <c:formatCode>General</c:formatCode>
                <c:ptCount val="4"/>
                <c:pt idx="0">
                  <c:v>0.2</c:v>
                </c:pt>
                <c:pt idx="1">
                  <c:v>0.3</c:v>
                </c:pt>
                <c:pt idx="2">
                  <c:v>0.5</c:v>
                </c:pt>
                <c:pt idx="3">
                  <c:v>2</c:v>
                </c:pt>
              </c:numCache>
            </c:numRef>
          </c:val>
          <c:extLst>
            <c:ext xmlns:c16="http://schemas.microsoft.com/office/drawing/2014/chart" uri="{C3380CC4-5D6E-409C-BE32-E72D297353CC}">
              <c16:uniqueId val="{00000008-A7D4-1041-B4E9-B537C7A51911}"/>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39769917402E-2"/>
          <c:y val="0.29558969063293322"/>
          <c:w val="0.48840599407256718"/>
          <c:h val="0.556840640821536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highlight>
                <a:srgbClr val="FFFF00"/>
              </a:highlight>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54615105817021858"/>
          <c:y val="0.28694978701432811"/>
          <c:w val="0.30726126259789532"/>
          <c:h val="0.48001496659006776"/>
        </c:manualLayout>
      </c:layout>
      <c:pieChart>
        <c:varyColors val="1"/>
        <c:ser>
          <c:idx val="0"/>
          <c:order val="0"/>
          <c:tx>
            <c:strRef>
              <c:f>Sheet1!$B$1</c:f>
              <c:strCache>
                <c:ptCount val="1"/>
                <c:pt idx="0">
                  <c:v>Taxonomy-aligned investments </c:v>
                </c:pt>
              </c:strCache>
            </c:strRef>
          </c:tx>
          <c:spPr>
            <a:ln>
              <a:noFill/>
            </a:ln>
          </c:spPr>
          <c:dPt>
            <c:idx val="0"/>
            <c:bubble3D val="0"/>
            <c:spPr>
              <a:solidFill>
                <a:srgbClr val="003300">
                  <a:alpha val="50000"/>
                </a:srgbClr>
              </a:solidFill>
              <a:ln w="19050">
                <a:noFill/>
              </a:ln>
              <a:effectLst/>
            </c:spPr>
            <c:extLst>
              <c:ext xmlns:c16="http://schemas.microsoft.com/office/drawing/2014/chart" uri="{C3380CC4-5D6E-409C-BE32-E72D297353CC}">
                <c16:uniqueId val="{00000001-DE29-A742-926C-6EA66CF671F7}"/>
              </c:ext>
            </c:extLst>
          </c:dPt>
          <c:dPt>
            <c:idx val="1"/>
            <c:bubble3D val="0"/>
            <c:spPr>
              <a:solidFill>
                <a:srgbClr val="003300">
                  <a:alpha val="70000"/>
                </a:srgbClr>
              </a:solidFill>
              <a:ln w="19050">
                <a:noFill/>
              </a:ln>
              <a:effectLst/>
            </c:spPr>
            <c:extLst>
              <c:ext xmlns:c16="http://schemas.microsoft.com/office/drawing/2014/chart" uri="{C3380CC4-5D6E-409C-BE32-E72D297353CC}">
                <c16:uniqueId val="{00000003-DE29-A742-926C-6EA66CF671F7}"/>
              </c:ext>
            </c:extLst>
          </c:dPt>
          <c:dPt>
            <c:idx val="2"/>
            <c:bubble3D val="0"/>
            <c:spPr>
              <a:solidFill>
                <a:srgbClr val="003300"/>
              </a:solidFill>
              <a:ln w="19050">
                <a:noFill/>
              </a:ln>
              <a:effectLst/>
            </c:spPr>
            <c:extLst>
              <c:ext xmlns:c16="http://schemas.microsoft.com/office/drawing/2014/chart" uri="{C3380CC4-5D6E-409C-BE32-E72D297353CC}">
                <c16:uniqueId val="{00000005-DE29-A742-926C-6EA66CF671F7}"/>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DE29-A742-926C-6EA66CF671F7}"/>
              </c:ext>
            </c:extLst>
          </c:dPt>
          <c:dLbls>
            <c:dLbl>
              <c:idx val="0"/>
              <c:layout>
                <c:manualLayout>
                  <c:x val="-1.563061010375049E-2"/>
                  <c:y val="2.6346496427223261E-2"/>
                </c:manualLayout>
              </c:layout>
              <c:tx>
                <c:rich>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0%</a:t>
                    </a:r>
                  </a:p>
                </c:rich>
              </c:tx>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DE29-A742-926C-6EA66CF671F7}"/>
                </c:ext>
              </c:extLst>
            </c:dLbl>
            <c:dLbl>
              <c:idx val="1"/>
              <c:layout>
                <c:manualLayout>
                  <c:x val="-6.2814086328039052E-3"/>
                  <c:y val="-9.7494751759898812E-3"/>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a:t>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DE29-A742-926C-6EA66CF671F7}"/>
                </c:ext>
              </c:extLst>
            </c:dLbl>
            <c:dLbl>
              <c:idx val="2"/>
              <c:layout>
                <c:manualLayout>
                  <c:x val="3.5748243448034678E-2"/>
                  <c:y val="-3.2743058084938707E-2"/>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DE29-A742-926C-6EA66CF671F7}"/>
                </c:ext>
              </c:extLst>
            </c:dLbl>
            <c:dLbl>
              <c:idx val="3"/>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DE29-A742-926C-6EA66CF671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Taxonomy-aligned: Fossil gas</c:v>
                </c:pt>
                <c:pt idx="1">
                  <c:v>Taxonomy-aligned: Nuclear</c:v>
                </c:pt>
                <c:pt idx="2">
                  <c:v> Taxonomy-aligned (no fossil gas &amp; nuclear)</c:v>
                </c:pt>
                <c:pt idx="3">
                  <c:v>Non Taxonomy-aligned </c:v>
                </c:pt>
              </c:strCache>
            </c:strRef>
          </c:cat>
          <c:val>
            <c:numRef>
              <c:f>Sheet1!$B$2:$B$5</c:f>
              <c:numCache>
                <c:formatCode>General</c:formatCode>
                <c:ptCount val="4"/>
                <c:pt idx="0">
                  <c:v>0.4</c:v>
                </c:pt>
                <c:pt idx="1">
                  <c:v>0.6</c:v>
                </c:pt>
                <c:pt idx="2">
                  <c:v>0.5</c:v>
                </c:pt>
                <c:pt idx="3">
                  <c:v>1</c:v>
                </c:pt>
              </c:numCache>
            </c:numRef>
          </c:val>
          <c:extLst>
            <c:ext xmlns:c16="http://schemas.microsoft.com/office/drawing/2014/chart" uri="{C3380CC4-5D6E-409C-BE32-E72D297353CC}">
              <c16:uniqueId val="{00000008-DE29-A742-926C-6EA66CF671F7}"/>
            </c:ext>
          </c:extLst>
        </c:ser>
        <c:dLbls>
          <c:showLegendKey val="0"/>
          <c:showVal val="1"/>
          <c:showCatName val="0"/>
          <c:showSerName val="0"/>
          <c:showPercent val="0"/>
          <c:showBubbleSize val="0"/>
          <c:showLeaderLines val="0"/>
        </c:dLbls>
        <c:firstSliceAng val="0"/>
      </c:pieChart>
      <c:spPr>
        <a:noFill/>
        <a:ln>
          <a:noFill/>
        </a:ln>
        <a:effectLst/>
      </c:spPr>
    </c:plotArea>
    <c:legend>
      <c:legendPos val="l"/>
      <c:layout>
        <c:manualLayout>
          <c:xMode val="edge"/>
          <c:yMode val="edge"/>
          <c:x val="3.2301480484522208E-2"/>
          <c:y val="0.25691078985185722"/>
          <c:w val="0.493236400631617"/>
          <c:h val="0.593996242272994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BFD579-F85F-4A96-9706-A3FED72F4EF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2372D91B-415C-4B59-ADB9-E892DC51320B}">
      <dgm:prSet phldrT="[Texte]" custT="1"/>
      <dgm:spPr>
        <a:solidFill>
          <a:schemeClr val="bg2"/>
        </a:solidFill>
      </dgm:spPr>
      <dgm:t>
        <a:bodyPr/>
        <a:lstStyle/>
        <a:p>
          <a:r>
            <a:rPr lang="fr-FR" sz="1100">
              <a:solidFill>
                <a:sysClr val="windowText" lastClr="000000"/>
              </a:solidFill>
              <a:latin typeface="Source Sans Pro" panose="020B0503030403020204" pitchFamily="34" charset="0"/>
            </a:rPr>
            <a:t>Investments</a:t>
          </a:r>
        </a:p>
      </dgm:t>
    </dgm:pt>
    <dgm:pt modelId="{5E5A0C37-5F40-4920-8051-3D1E20C42CEE}" type="parTrans" cxnId="{3C29C966-F0D3-4530-8C57-F2A1058EA921}">
      <dgm:prSet/>
      <dgm:spPr/>
      <dgm:t>
        <a:bodyPr/>
        <a:lstStyle/>
        <a:p>
          <a:endParaRPr lang="fr-FR"/>
        </a:p>
      </dgm:t>
    </dgm:pt>
    <dgm:pt modelId="{0D13CB89-FF0D-427E-8C60-11D1E9F34DAD}" type="sibTrans" cxnId="{3C29C966-F0D3-4530-8C57-F2A1058EA921}">
      <dgm:prSet/>
      <dgm:spPr/>
      <dgm:t>
        <a:bodyPr/>
        <a:lstStyle/>
        <a:p>
          <a:endParaRPr lang="fr-FR"/>
        </a:p>
      </dgm:t>
    </dgm:pt>
    <dgm:pt modelId="{7494CBC4-2415-4C0E-AA1C-46143833E841}">
      <dgm:prSet phldrT="[Texte]" custT="1"/>
      <dgm:spPr>
        <a:solidFill>
          <a:schemeClr val="accent6">
            <a:lumMod val="75000"/>
          </a:schemeClr>
        </a:solidFill>
      </dgm:spPr>
      <dgm:t>
        <a:bodyPr/>
        <a:lstStyle/>
        <a:p>
          <a:r>
            <a:rPr lang="fr-FR" sz="1100">
              <a:solidFill>
                <a:sysClr val="windowText" lastClr="000000"/>
              </a:solidFill>
              <a:latin typeface="Source Sans Pro" panose="020B0503030403020204" pitchFamily="34" charset="0"/>
            </a:rPr>
            <a:t>#1 Aligned with with E/S characteristics</a:t>
          </a:r>
        </a:p>
      </dgm:t>
    </dgm:pt>
    <dgm:pt modelId="{D1CB84CC-0521-4B68-B5EB-DAA916305B3C}" type="parTrans" cxnId="{9F110D27-1A83-4EC7-B72B-41D2E49AF590}">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A9201855-09C8-43B8-A7A3-52A6A6CFA582}" type="sibTrans" cxnId="{9F110D27-1A83-4EC7-B72B-41D2E49AF590}">
      <dgm:prSet/>
      <dgm:spPr/>
      <dgm:t>
        <a:bodyPr/>
        <a:lstStyle/>
        <a:p>
          <a:endParaRPr lang="fr-FR"/>
        </a:p>
      </dgm:t>
    </dgm:pt>
    <dgm:pt modelId="{5EE4AD5E-E6FF-425C-8795-FF3DC6AFA167}">
      <dgm:prSet phldrT="[Texte]" custT="1"/>
      <dgm:spPr>
        <a:solidFill>
          <a:schemeClr val="accent6">
            <a:lumMod val="40000"/>
            <a:lumOff val="60000"/>
          </a:schemeClr>
        </a:solidFill>
      </dgm:spPr>
      <dgm:t>
        <a:bodyPr/>
        <a:lstStyle/>
        <a:p>
          <a:r>
            <a:rPr lang="fr-FR" sz="1100">
              <a:solidFill>
                <a:sysClr val="windowText" lastClr="000000"/>
              </a:solidFill>
              <a:latin typeface="Source Sans Pro" panose="020B0503030403020204" pitchFamily="34" charset="0"/>
            </a:rPr>
            <a:t>#1B Other E/S characteristics</a:t>
          </a:r>
        </a:p>
      </dgm:t>
    </dgm:pt>
    <dgm:pt modelId="{AD014B41-8F4D-4C57-B2F0-0CFE2033A275}" type="parTrans" cxnId="{A7EE78D3-AB52-4C26-AC42-23734CD1BE00}">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4C621435-1A75-47D1-9DC0-61AEE3C20890}" type="sibTrans" cxnId="{A7EE78D3-AB52-4C26-AC42-23734CD1BE00}">
      <dgm:prSet/>
      <dgm:spPr/>
      <dgm:t>
        <a:bodyPr/>
        <a:lstStyle/>
        <a:p>
          <a:endParaRPr lang="fr-FR"/>
        </a:p>
      </dgm:t>
    </dgm:pt>
    <dgm:pt modelId="{C21670D3-955A-40D9-839E-84562D1BA763}">
      <dgm:prSet phldrT="[Texte]" custT="1"/>
      <dgm:spPr>
        <a:solidFill>
          <a:schemeClr val="bg2"/>
        </a:solidFill>
      </dgm:spPr>
      <dgm:t>
        <a:bodyPr/>
        <a:lstStyle/>
        <a:p>
          <a:r>
            <a:rPr lang="fr-FR" sz="1100">
              <a:solidFill>
                <a:sysClr val="windowText" lastClr="000000"/>
              </a:solidFill>
              <a:latin typeface="Source Sans Pro" panose="020B0503030403020204" pitchFamily="34" charset="0"/>
            </a:rPr>
            <a:t>#2 Other</a:t>
          </a:r>
        </a:p>
      </dgm:t>
    </dgm:pt>
    <dgm:pt modelId="{2E997339-FB98-49EA-8CA7-865BE305FD17}" type="parTrans" cxnId="{CCED9A3F-69FB-47F6-B0BD-C2F5A699DA26}">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1A1F2C2C-7D84-4F72-970E-21477055AAE6}" type="sibTrans" cxnId="{CCED9A3F-69FB-47F6-B0BD-C2F5A699DA26}">
      <dgm:prSet/>
      <dgm:spPr/>
      <dgm:t>
        <a:bodyPr/>
        <a:lstStyle/>
        <a:p>
          <a:endParaRPr lang="fr-FR"/>
        </a:p>
      </dgm:t>
    </dgm:pt>
    <dgm:pt modelId="{7A29EB7A-13E2-4FC7-BFC3-1B32D9F9B712}" type="pres">
      <dgm:prSet presAssocID="{7EBFD579-F85F-4A96-9706-A3FED72F4EF6}" presName="diagram" presStyleCnt="0">
        <dgm:presLayoutVars>
          <dgm:chPref val="1"/>
          <dgm:dir/>
          <dgm:animOne val="branch"/>
          <dgm:animLvl val="lvl"/>
          <dgm:resizeHandles val="exact"/>
        </dgm:presLayoutVars>
      </dgm:prSet>
      <dgm:spPr/>
    </dgm:pt>
    <dgm:pt modelId="{F8AC989F-3B26-4603-AAEF-5FD19C89A900}" type="pres">
      <dgm:prSet presAssocID="{2372D91B-415C-4B59-ADB9-E892DC51320B}" presName="root1" presStyleCnt="0"/>
      <dgm:spPr/>
    </dgm:pt>
    <dgm:pt modelId="{17F8041A-2184-4013-B2FD-378A554108CF}" type="pres">
      <dgm:prSet presAssocID="{2372D91B-415C-4B59-ADB9-E892DC51320B}" presName="LevelOneTextNode" presStyleLbl="node0" presStyleIdx="0" presStyleCnt="1">
        <dgm:presLayoutVars>
          <dgm:chPref val="3"/>
        </dgm:presLayoutVars>
      </dgm:prSet>
      <dgm:spPr/>
    </dgm:pt>
    <dgm:pt modelId="{36F09AA9-456C-48C3-B161-2C3372E4F068}" type="pres">
      <dgm:prSet presAssocID="{2372D91B-415C-4B59-ADB9-E892DC51320B}" presName="level2hierChild" presStyleCnt="0"/>
      <dgm:spPr/>
    </dgm:pt>
    <dgm:pt modelId="{36F6CEE6-E146-4259-B99C-862B20DF417E}" type="pres">
      <dgm:prSet presAssocID="{D1CB84CC-0521-4B68-B5EB-DAA916305B3C}" presName="conn2-1" presStyleLbl="parChTrans1D2" presStyleIdx="0" presStyleCnt="2"/>
      <dgm:spPr/>
    </dgm:pt>
    <dgm:pt modelId="{1E43151E-EC6D-43A9-8BB8-5C0D1A5FDE01}" type="pres">
      <dgm:prSet presAssocID="{D1CB84CC-0521-4B68-B5EB-DAA916305B3C}" presName="connTx" presStyleLbl="parChTrans1D2" presStyleIdx="0" presStyleCnt="2"/>
      <dgm:spPr/>
    </dgm:pt>
    <dgm:pt modelId="{42032654-2E2E-41B4-AC2E-8C5DBD812C51}" type="pres">
      <dgm:prSet presAssocID="{7494CBC4-2415-4C0E-AA1C-46143833E841}" presName="root2" presStyleCnt="0"/>
      <dgm:spPr/>
    </dgm:pt>
    <dgm:pt modelId="{55B47AFC-6581-4B0C-95E9-9D07A4C969C3}" type="pres">
      <dgm:prSet presAssocID="{7494CBC4-2415-4C0E-AA1C-46143833E841}" presName="LevelTwoTextNode" presStyleLbl="node2" presStyleIdx="0" presStyleCnt="2">
        <dgm:presLayoutVars>
          <dgm:chPref val="3"/>
        </dgm:presLayoutVars>
      </dgm:prSet>
      <dgm:spPr/>
    </dgm:pt>
    <dgm:pt modelId="{0B36AF92-35CA-4BE1-89A4-ADE10466759D}" type="pres">
      <dgm:prSet presAssocID="{7494CBC4-2415-4C0E-AA1C-46143833E841}" presName="level3hierChild" presStyleCnt="0"/>
      <dgm:spPr/>
    </dgm:pt>
    <dgm:pt modelId="{0CAF6475-62FB-4E47-9A96-88AD5E8182DA}" type="pres">
      <dgm:prSet presAssocID="{AD014B41-8F4D-4C57-B2F0-0CFE2033A275}" presName="conn2-1" presStyleLbl="parChTrans1D3" presStyleIdx="0" presStyleCnt="1"/>
      <dgm:spPr/>
    </dgm:pt>
    <dgm:pt modelId="{62F6A01C-0415-4ADE-8F79-C3EDC78B3F2F}" type="pres">
      <dgm:prSet presAssocID="{AD014B41-8F4D-4C57-B2F0-0CFE2033A275}" presName="connTx" presStyleLbl="parChTrans1D3" presStyleIdx="0" presStyleCnt="1"/>
      <dgm:spPr/>
    </dgm:pt>
    <dgm:pt modelId="{8F7DB088-934A-4F5B-AD11-4A73FAEA22BA}" type="pres">
      <dgm:prSet presAssocID="{5EE4AD5E-E6FF-425C-8795-FF3DC6AFA167}" presName="root2" presStyleCnt="0"/>
      <dgm:spPr/>
    </dgm:pt>
    <dgm:pt modelId="{F9077806-6D75-43F5-BD96-73C8182122F7}" type="pres">
      <dgm:prSet presAssocID="{5EE4AD5E-E6FF-425C-8795-FF3DC6AFA167}" presName="LevelTwoTextNode" presStyleLbl="node3" presStyleIdx="0" presStyleCnt="1">
        <dgm:presLayoutVars>
          <dgm:chPref val="3"/>
        </dgm:presLayoutVars>
      </dgm:prSet>
      <dgm:spPr/>
    </dgm:pt>
    <dgm:pt modelId="{7B1FD2BA-84AB-4B4D-944C-11E5E88F61BF}" type="pres">
      <dgm:prSet presAssocID="{5EE4AD5E-E6FF-425C-8795-FF3DC6AFA167}" presName="level3hierChild" presStyleCnt="0"/>
      <dgm:spPr/>
    </dgm:pt>
    <dgm:pt modelId="{DAF2C964-77C2-40B3-B5CC-6592A15D289A}" type="pres">
      <dgm:prSet presAssocID="{2E997339-FB98-49EA-8CA7-865BE305FD17}" presName="conn2-1" presStyleLbl="parChTrans1D2" presStyleIdx="1" presStyleCnt="2"/>
      <dgm:spPr/>
    </dgm:pt>
    <dgm:pt modelId="{0EEBB9A6-2FDA-4773-87A3-9F09C77FFAD0}" type="pres">
      <dgm:prSet presAssocID="{2E997339-FB98-49EA-8CA7-865BE305FD17}" presName="connTx" presStyleLbl="parChTrans1D2" presStyleIdx="1" presStyleCnt="2"/>
      <dgm:spPr/>
    </dgm:pt>
    <dgm:pt modelId="{A7ADEBAC-2832-4ED7-8C5E-10D287CD52BB}" type="pres">
      <dgm:prSet presAssocID="{C21670D3-955A-40D9-839E-84562D1BA763}" presName="root2" presStyleCnt="0"/>
      <dgm:spPr/>
    </dgm:pt>
    <dgm:pt modelId="{50D9C727-7607-44B7-9AA2-807D7BAF543A}" type="pres">
      <dgm:prSet presAssocID="{C21670D3-955A-40D9-839E-84562D1BA763}" presName="LevelTwoTextNode" presStyleLbl="node2" presStyleIdx="1" presStyleCnt="2">
        <dgm:presLayoutVars>
          <dgm:chPref val="3"/>
        </dgm:presLayoutVars>
      </dgm:prSet>
      <dgm:spPr/>
    </dgm:pt>
    <dgm:pt modelId="{10116310-54D6-4E42-8A42-F7DBA9A0B63F}" type="pres">
      <dgm:prSet presAssocID="{C21670D3-955A-40D9-839E-84562D1BA763}" presName="level3hierChild" presStyleCnt="0"/>
      <dgm:spPr/>
    </dgm:pt>
  </dgm:ptLst>
  <dgm:cxnLst>
    <dgm:cxn modelId="{9F110D27-1A83-4EC7-B72B-41D2E49AF590}" srcId="{2372D91B-415C-4B59-ADB9-E892DC51320B}" destId="{7494CBC4-2415-4C0E-AA1C-46143833E841}" srcOrd="0" destOrd="0" parTransId="{D1CB84CC-0521-4B68-B5EB-DAA916305B3C}" sibTransId="{A9201855-09C8-43B8-A7A3-52A6A6CFA582}"/>
    <dgm:cxn modelId="{F7DAFB3A-2150-4F8D-8019-810388464353}" type="presOf" srcId="{AD014B41-8F4D-4C57-B2F0-0CFE2033A275}" destId="{0CAF6475-62FB-4E47-9A96-88AD5E8182DA}" srcOrd="0" destOrd="0" presId="urn:microsoft.com/office/officeart/2005/8/layout/hierarchy2"/>
    <dgm:cxn modelId="{CCED9A3F-69FB-47F6-B0BD-C2F5A699DA26}" srcId="{2372D91B-415C-4B59-ADB9-E892DC51320B}" destId="{C21670D3-955A-40D9-839E-84562D1BA763}" srcOrd="1" destOrd="0" parTransId="{2E997339-FB98-49EA-8CA7-865BE305FD17}" sibTransId="{1A1F2C2C-7D84-4F72-970E-21477055AAE6}"/>
    <dgm:cxn modelId="{9C636544-19B8-4FC9-BF9B-CF0E4C4EDEF2}" type="presOf" srcId="{AD014B41-8F4D-4C57-B2F0-0CFE2033A275}" destId="{62F6A01C-0415-4ADE-8F79-C3EDC78B3F2F}" srcOrd="1" destOrd="0" presId="urn:microsoft.com/office/officeart/2005/8/layout/hierarchy2"/>
    <dgm:cxn modelId="{DA04C065-3020-48F6-A071-1B7DF85BD414}" type="presOf" srcId="{D1CB84CC-0521-4B68-B5EB-DAA916305B3C}" destId="{36F6CEE6-E146-4259-B99C-862B20DF417E}" srcOrd="0" destOrd="0" presId="urn:microsoft.com/office/officeart/2005/8/layout/hierarchy2"/>
    <dgm:cxn modelId="{3C29C966-F0D3-4530-8C57-F2A1058EA921}" srcId="{7EBFD579-F85F-4A96-9706-A3FED72F4EF6}" destId="{2372D91B-415C-4B59-ADB9-E892DC51320B}" srcOrd="0" destOrd="0" parTransId="{5E5A0C37-5F40-4920-8051-3D1E20C42CEE}" sibTransId="{0D13CB89-FF0D-427E-8C60-11D1E9F34DAD}"/>
    <dgm:cxn modelId="{809A3367-A0C9-49C7-BA31-1E6C233D8135}" type="presOf" srcId="{2372D91B-415C-4B59-ADB9-E892DC51320B}" destId="{17F8041A-2184-4013-B2FD-378A554108CF}" srcOrd="0" destOrd="0" presId="urn:microsoft.com/office/officeart/2005/8/layout/hierarchy2"/>
    <dgm:cxn modelId="{659BCF78-AA28-4A6C-9D47-96E8DA88EDA6}" type="presOf" srcId="{2E997339-FB98-49EA-8CA7-865BE305FD17}" destId="{DAF2C964-77C2-40B3-B5CC-6592A15D289A}" srcOrd="0" destOrd="0" presId="urn:microsoft.com/office/officeart/2005/8/layout/hierarchy2"/>
    <dgm:cxn modelId="{1228417A-3C83-4135-92E5-C1B74ECB36E0}" type="presOf" srcId="{7EBFD579-F85F-4A96-9706-A3FED72F4EF6}" destId="{7A29EB7A-13E2-4FC7-BFC3-1B32D9F9B712}" srcOrd="0" destOrd="0" presId="urn:microsoft.com/office/officeart/2005/8/layout/hierarchy2"/>
    <dgm:cxn modelId="{27101D80-19AD-41D5-8FBC-C97110DBF2B8}" type="presOf" srcId="{7494CBC4-2415-4C0E-AA1C-46143833E841}" destId="{55B47AFC-6581-4B0C-95E9-9D07A4C969C3}" srcOrd="0" destOrd="0" presId="urn:microsoft.com/office/officeart/2005/8/layout/hierarchy2"/>
    <dgm:cxn modelId="{57782D9A-29D6-4A5D-89B6-51FF166285E6}" type="presOf" srcId="{5EE4AD5E-E6FF-425C-8795-FF3DC6AFA167}" destId="{F9077806-6D75-43F5-BD96-73C8182122F7}" srcOrd="0" destOrd="0" presId="urn:microsoft.com/office/officeart/2005/8/layout/hierarchy2"/>
    <dgm:cxn modelId="{7CCBBCA3-3F88-486C-B268-302A3DD4EF38}" type="presOf" srcId="{2E997339-FB98-49EA-8CA7-865BE305FD17}" destId="{0EEBB9A6-2FDA-4773-87A3-9F09C77FFAD0}" srcOrd="1" destOrd="0" presId="urn:microsoft.com/office/officeart/2005/8/layout/hierarchy2"/>
    <dgm:cxn modelId="{5BD8ABA5-A6FB-42B0-9E8A-67237CB2BDF2}" type="presOf" srcId="{C21670D3-955A-40D9-839E-84562D1BA763}" destId="{50D9C727-7607-44B7-9AA2-807D7BAF543A}" srcOrd="0" destOrd="0" presId="urn:microsoft.com/office/officeart/2005/8/layout/hierarchy2"/>
    <dgm:cxn modelId="{A7EE78D3-AB52-4C26-AC42-23734CD1BE00}" srcId="{7494CBC4-2415-4C0E-AA1C-46143833E841}" destId="{5EE4AD5E-E6FF-425C-8795-FF3DC6AFA167}" srcOrd="0" destOrd="0" parTransId="{AD014B41-8F4D-4C57-B2F0-0CFE2033A275}" sibTransId="{4C621435-1A75-47D1-9DC0-61AEE3C20890}"/>
    <dgm:cxn modelId="{BC67CBEF-D4B1-455E-8CD7-99AFA0783058}" type="presOf" srcId="{D1CB84CC-0521-4B68-B5EB-DAA916305B3C}" destId="{1E43151E-EC6D-43A9-8BB8-5C0D1A5FDE01}" srcOrd="1" destOrd="0" presId="urn:microsoft.com/office/officeart/2005/8/layout/hierarchy2"/>
    <dgm:cxn modelId="{6EF383E9-F234-448B-B6EF-2140EE2CFBB4}" type="presParOf" srcId="{7A29EB7A-13E2-4FC7-BFC3-1B32D9F9B712}" destId="{F8AC989F-3B26-4603-AAEF-5FD19C89A900}" srcOrd="0" destOrd="0" presId="urn:microsoft.com/office/officeart/2005/8/layout/hierarchy2"/>
    <dgm:cxn modelId="{945BC4A8-13F7-43EC-91B9-EF95AE9E1CD4}" type="presParOf" srcId="{F8AC989F-3B26-4603-AAEF-5FD19C89A900}" destId="{17F8041A-2184-4013-B2FD-378A554108CF}" srcOrd="0" destOrd="0" presId="urn:microsoft.com/office/officeart/2005/8/layout/hierarchy2"/>
    <dgm:cxn modelId="{70F18D37-5E46-4C1E-961F-B1546FD53EC7}" type="presParOf" srcId="{F8AC989F-3B26-4603-AAEF-5FD19C89A900}" destId="{36F09AA9-456C-48C3-B161-2C3372E4F068}" srcOrd="1" destOrd="0" presId="urn:microsoft.com/office/officeart/2005/8/layout/hierarchy2"/>
    <dgm:cxn modelId="{7AC97389-D3F4-44DB-9FC3-F3E567C88218}" type="presParOf" srcId="{36F09AA9-456C-48C3-B161-2C3372E4F068}" destId="{36F6CEE6-E146-4259-B99C-862B20DF417E}" srcOrd="0" destOrd="0" presId="urn:microsoft.com/office/officeart/2005/8/layout/hierarchy2"/>
    <dgm:cxn modelId="{CD932A9A-8C43-451F-BB21-CA7C6DE5205F}" type="presParOf" srcId="{36F6CEE6-E146-4259-B99C-862B20DF417E}" destId="{1E43151E-EC6D-43A9-8BB8-5C0D1A5FDE01}" srcOrd="0" destOrd="0" presId="urn:microsoft.com/office/officeart/2005/8/layout/hierarchy2"/>
    <dgm:cxn modelId="{4D180B89-73EF-4F9F-BA6E-EA17D2C6CF01}" type="presParOf" srcId="{36F09AA9-456C-48C3-B161-2C3372E4F068}" destId="{42032654-2E2E-41B4-AC2E-8C5DBD812C51}" srcOrd="1" destOrd="0" presId="urn:microsoft.com/office/officeart/2005/8/layout/hierarchy2"/>
    <dgm:cxn modelId="{AD3D00C9-6F7A-45BE-9FB5-B51BEE3AD4FC}" type="presParOf" srcId="{42032654-2E2E-41B4-AC2E-8C5DBD812C51}" destId="{55B47AFC-6581-4B0C-95E9-9D07A4C969C3}" srcOrd="0" destOrd="0" presId="urn:microsoft.com/office/officeart/2005/8/layout/hierarchy2"/>
    <dgm:cxn modelId="{2484D8DD-6B04-47B3-ABAE-7F677927EDED}" type="presParOf" srcId="{42032654-2E2E-41B4-AC2E-8C5DBD812C51}" destId="{0B36AF92-35CA-4BE1-89A4-ADE10466759D}" srcOrd="1" destOrd="0" presId="urn:microsoft.com/office/officeart/2005/8/layout/hierarchy2"/>
    <dgm:cxn modelId="{5F712142-D368-4875-8225-06A49A6CEE05}" type="presParOf" srcId="{0B36AF92-35CA-4BE1-89A4-ADE10466759D}" destId="{0CAF6475-62FB-4E47-9A96-88AD5E8182DA}" srcOrd="0" destOrd="0" presId="urn:microsoft.com/office/officeart/2005/8/layout/hierarchy2"/>
    <dgm:cxn modelId="{56B436F5-683A-4DDD-8B61-2B885DEE794B}" type="presParOf" srcId="{0CAF6475-62FB-4E47-9A96-88AD5E8182DA}" destId="{62F6A01C-0415-4ADE-8F79-C3EDC78B3F2F}" srcOrd="0" destOrd="0" presId="urn:microsoft.com/office/officeart/2005/8/layout/hierarchy2"/>
    <dgm:cxn modelId="{6B771E22-3778-4387-BAC9-1BFB2BC7A107}" type="presParOf" srcId="{0B36AF92-35CA-4BE1-89A4-ADE10466759D}" destId="{8F7DB088-934A-4F5B-AD11-4A73FAEA22BA}" srcOrd="1" destOrd="0" presId="urn:microsoft.com/office/officeart/2005/8/layout/hierarchy2"/>
    <dgm:cxn modelId="{078DBF49-8129-42F4-96A8-93191350DE4D}" type="presParOf" srcId="{8F7DB088-934A-4F5B-AD11-4A73FAEA22BA}" destId="{F9077806-6D75-43F5-BD96-73C8182122F7}" srcOrd="0" destOrd="0" presId="urn:microsoft.com/office/officeart/2005/8/layout/hierarchy2"/>
    <dgm:cxn modelId="{A75C0DBB-6B25-4C00-82CC-18D3C296724B}" type="presParOf" srcId="{8F7DB088-934A-4F5B-AD11-4A73FAEA22BA}" destId="{7B1FD2BA-84AB-4B4D-944C-11E5E88F61BF}" srcOrd="1" destOrd="0" presId="urn:microsoft.com/office/officeart/2005/8/layout/hierarchy2"/>
    <dgm:cxn modelId="{DCA90E39-BBF8-419A-8AE9-EEFE567836E1}" type="presParOf" srcId="{36F09AA9-456C-48C3-B161-2C3372E4F068}" destId="{DAF2C964-77C2-40B3-B5CC-6592A15D289A}" srcOrd="2" destOrd="0" presId="urn:microsoft.com/office/officeart/2005/8/layout/hierarchy2"/>
    <dgm:cxn modelId="{B5022914-1A2D-43F5-86EF-4F7A34990F72}" type="presParOf" srcId="{DAF2C964-77C2-40B3-B5CC-6592A15D289A}" destId="{0EEBB9A6-2FDA-4773-87A3-9F09C77FFAD0}" srcOrd="0" destOrd="0" presId="urn:microsoft.com/office/officeart/2005/8/layout/hierarchy2"/>
    <dgm:cxn modelId="{D85F991A-5C9D-4744-9A4F-8293258C4688}" type="presParOf" srcId="{36F09AA9-456C-48C3-B161-2C3372E4F068}" destId="{A7ADEBAC-2832-4ED7-8C5E-10D287CD52BB}" srcOrd="3" destOrd="0" presId="urn:microsoft.com/office/officeart/2005/8/layout/hierarchy2"/>
    <dgm:cxn modelId="{820C7148-BB68-417C-AB73-8FEA66995A08}" type="presParOf" srcId="{A7ADEBAC-2832-4ED7-8C5E-10D287CD52BB}" destId="{50D9C727-7607-44B7-9AA2-807D7BAF543A}" srcOrd="0" destOrd="0" presId="urn:microsoft.com/office/officeart/2005/8/layout/hierarchy2"/>
    <dgm:cxn modelId="{E011155D-444D-4BA4-9A2D-E73AD026B270}" type="presParOf" srcId="{A7ADEBAC-2832-4ED7-8C5E-10D287CD52BB}" destId="{10116310-54D6-4E42-8A42-F7DBA9A0B63F}"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8041A-2184-4013-B2FD-378A554108CF}">
      <dsp:nvSpPr>
        <dsp:cNvPr id="0" name=""/>
        <dsp:cNvSpPr/>
      </dsp:nvSpPr>
      <dsp:spPr>
        <a:xfrm>
          <a:off x="569" y="625156"/>
          <a:ext cx="1370334" cy="685167"/>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Investments</a:t>
          </a:r>
        </a:p>
      </dsp:txBody>
      <dsp:txXfrm>
        <a:off x="20637" y="645224"/>
        <a:ext cx="1330198" cy="645031"/>
      </dsp:txXfrm>
    </dsp:sp>
    <dsp:sp modelId="{36F6CEE6-E146-4259-B99C-862B20DF417E}">
      <dsp:nvSpPr>
        <dsp:cNvPr id="0" name=""/>
        <dsp:cNvSpPr/>
      </dsp:nvSpPr>
      <dsp:spPr>
        <a:xfrm rot="19457599">
          <a:off x="1307456" y="738893"/>
          <a:ext cx="675029" cy="63720"/>
        </a:xfrm>
        <a:custGeom>
          <a:avLst/>
          <a:gdLst/>
          <a:ahLst/>
          <a:cxnLst/>
          <a:rect l="0" t="0" r="0" b="0"/>
          <a:pathLst>
            <a:path>
              <a:moveTo>
                <a:pt x="0" y="31860"/>
              </a:moveTo>
              <a:lnTo>
                <a:pt x="675029" y="31860"/>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1628095" y="753878"/>
        <a:ext cx="33751" cy="33751"/>
      </dsp:txXfrm>
    </dsp:sp>
    <dsp:sp modelId="{55B47AFC-6581-4B0C-95E9-9D07A4C969C3}">
      <dsp:nvSpPr>
        <dsp:cNvPr id="0" name=""/>
        <dsp:cNvSpPr/>
      </dsp:nvSpPr>
      <dsp:spPr>
        <a:xfrm>
          <a:off x="1919038" y="231184"/>
          <a:ext cx="1370334" cy="68516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#1 Aligned with with E/S characteristics</a:t>
          </a:r>
        </a:p>
      </dsp:txBody>
      <dsp:txXfrm>
        <a:off x="1939106" y="251252"/>
        <a:ext cx="1330198" cy="645031"/>
      </dsp:txXfrm>
    </dsp:sp>
    <dsp:sp modelId="{0CAF6475-62FB-4E47-9A96-88AD5E8182DA}">
      <dsp:nvSpPr>
        <dsp:cNvPr id="0" name=""/>
        <dsp:cNvSpPr/>
      </dsp:nvSpPr>
      <dsp:spPr>
        <a:xfrm>
          <a:off x="3289372" y="541908"/>
          <a:ext cx="548133" cy="63720"/>
        </a:xfrm>
        <a:custGeom>
          <a:avLst/>
          <a:gdLst/>
          <a:ahLst/>
          <a:cxnLst/>
          <a:rect l="0" t="0" r="0" b="0"/>
          <a:pathLst>
            <a:path>
              <a:moveTo>
                <a:pt x="0" y="31860"/>
              </a:moveTo>
              <a:lnTo>
                <a:pt x="548133" y="31860"/>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3549736" y="560065"/>
        <a:ext cx="27406" cy="27406"/>
      </dsp:txXfrm>
    </dsp:sp>
    <dsp:sp modelId="{F9077806-6D75-43F5-BD96-73C8182122F7}">
      <dsp:nvSpPr>
        <dsp:cNvPr id="0" name=""/>
        <dsp:cNvSpPr/>
      </dsp:nvSpPr>
      <dsp:spPr>
        <a:xfrm>
          <a:off x="3837506" y="231184"/>
          <a:ext cx="1370334" cy="685167"/>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#1B Other E/S characteristics</a:t>
          </a:r>
        </a:p>
      </dsp:txBody>
      <dsp:txXfrm>
        <a:off x="3857574" y="251252"/>
        <a:ext cx="1330198" cy="645031"/>
      </dsp:txXfrm>
    </dsp:sp>
    <dsp:sp modelId="{DAF2C964-77C2-40B3-B5CC-6592A15D289A}">
      <dsp:nvSpPr>
        <dsp:cNvPr id="0" name=""/>
        <dsp:cNvSpPr/>
      </dsp:nvSpPr>
      <dsp:spPr>
        <a:xfrm rot="2142401">
          <a:off x="1307456" y="1132865"/>
          <a:ext cx="675029" cy="63720"/>
        </a:xfrm>
        <a:custGeom>
          <a:avLst/>
          <a:gdLst/>
          <a:ahLst/>
          <a:cxnLst/>
          <a:rect l="0" t="0" r="0" b="0"/>
          <a:pathLst>
            <a:path>
              <a:moveTo>
                <a:pt x="0" y="31860"/>
              </a:moveTo>
              <a:lnTo>
                <a:pt x="675029" y="31860"/>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1628095" y="1147849"/>
        <a:ext cx="33751" cy="33751"/>
      </dsp:txXfrm>
    </dsp:sp>
    <dsp:sp modelId="{50D9C727-7607-44B7-9AA2-807D7BAF543A}">
      <dsp:nvSpPr>
        <dsp:cNvPr id="0" name=""/>
        <dsp:cNvSpPr/>
      </dsp:nvSpPr>
      <dsp:spPr>
        <a:xfrm>
          <a:off x="1919038" y="1019127"/>
          <a:ext cx="1370334" cy="685167"/>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#2 Other</a:t>
          </a:r>
        </a:p>
      </dsp:txBody>
      <dsp:txXfrm>
        <a:off x="1939106" y="1039195"/>
        <a:ext cx="1330198" cy="6450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0.92954</cdr:x>
      <cdr:y>0.26141</cdr:y>
    </cdr:from>
    <cdr:to>
      <cdr:x>1</cdr:x>
      <cdr:y>0.34223</cdr:y>
    </cdr:to>
    <cdr:sp macro="" textlink="">
      <cdr:nvSpPr>
        <cdr:cNvPr id="4" name="TextBox 4"/>
        <cdr:cNvSpPr txBox="1"/>
      </cdr:nvSpPr>
      <cdr:spPr>
        <a:xfrm xmlns:a="http://schemas.openxmlformats.org/drawingml/2006/main">
          <a:off x="2120206" y="455657"/>
          <a:ext cx="160714" cy="140876"/>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r>
            <a:rPr lang="nl-NL" sz="900" b="1" kern="1200">
              <a:solidFill>
                <a:srgbClr val="003300"/>
              </a:solidFill>
              <a:effectLst/>
              <a:latin typeface="+mn-lt"/>
              <a:ea typeface="Times New Roman" panose="02020603050405020304" pitchFamily="18" charset="0"/>
              <a:cs typeface="Arial" panose="020B0604020202020204" pitchFamily="34" charset="0"/>
            </a:rPr>
            <a:t>0%</a:t>
          </a:r>
          <a:endParaRPr lang="en-GB" sz="1600">
            <a:effectLst/>
            <a:latin typeface="+mn-lt"/>
            <a:ea typeface="Times New Roman" panose="02020603050405020304" pitchFamily="18" charset="0"/>
          </a:endParaRPr>
        </a:p>
      </cdr:txBody>
    </cdr:sp>
  </cdr:relSizeAnchor>
  <cdr:relSizeAnchor xmlns:cdr="http://schemas.openxmlformats.org/drawingml/2006/chartDrawing">
    <cdr:from>
      <cdr:x>0.57711</cdr:x>
      <cdr:y>0.2481</cdr:y>
    </cdr:from>
    <cdr:to>
      <cdr:x>0.96548</cdr:x>
      <cdr:y>0.77533</cdr:y>
    </cdr:to>
    <cdr:sp macro="" textlink="">
      <cdr:nvSpPr>
        <cdr:cNvPr id="5" name="Arc 4"/>
        <cdr:cNvSpPr/>
      </cdr:nvSpPr>
      <cdr:spPr>
        <a:xfrm xmlns:a="http://schemas.openxmlformats.org/drawingml/2006/main" rot="471019">
          <a:off x="1316342" y="432457"/>
          <a:ext cx="885841" cy="919001"/>
        </a:xfrm>
        <a:prstGeom xmlns:a="http://schemas.openxmlformats.org/drawingml/2006/main" prst="arc">
          <a:avLst>
            <a:gd name="adj1" fmla="val 15026549"/>
            <a:gd name="adj2" fmla="val 1922135"/>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GB"/>
        </a:p>
      </cdr:txBody>
    </cdr:sp>
  </cdr:relSizeAnchor>
</c:userShapes>
</file>

<file path=word/drawings/drawing2.xml><?xml version="1.0" encoding="utf-8"?>
<c:userShapes xmlns:c="http://schemas.openxmlformats.org/drawingml/2006/chart">
  <cdr:relSizeAnchor xmlns:cdr="http://schemas.openxmlformats.org/drawingml/2006/chartDrawing">
    <cdr:from>
      <cdr:x>0.48708</cdr:x>
      <cdr:y>0.22474</cdr:y>
    </cdr:from>
    <cdr:to>
      <cdr:x>0.95103</cdr:x>
      <cdr:y>0.80396</cdr:y>
    </cdr:to>
    <cdr:sp macro="" textlink="">
      <cdr:nvSpPr>
        <cdr:cNvPr id="2" name="Arc 1"/>
        <cdr:cNvSpPr/>
      </cdr:nvSpPr>
      <cdr:spPr>
        <a:xfrm xmlns:a="http://schemas.openxmlformats.org/drawingml/2006/main" rot="1069177">
          <a:off x="1149034" y="391731"/>
          <a:ext cx="1094470" cy="1009624"/>
        </a:xfrm>
        <a:prstGeom xmlns:a="http://schemas.openxmlformats.org/drawingml/2006/main" prst="arc">
          <a:avLst>
            <a:gd name="adj1" fmla="val 15849707"/>
            <a:gd name="adj2" fmla="val 6405616"/>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endParaRPr lang="en-GB"/>
        </a:p>
      </cdr:txBody>
    </cdr:sp>
  </cdr:relSizeAnchor>
  <cdr:relSizeAnchor xmlns:cdr="http://schemas.openxmlformats.org/drawingml/2006/chartDrawing">
    <cdr:from>
      <cdr:x>0.93284</cdr:x>
      <cdr:y>0.29798</cdr:y>
    </cdr:from>
    <cdr:to>
      <cdr:x>0.99787</cdr:x>
      <cdr:y>0.3788</cdr:y>
    </cdr:to>
    <cdr:sp macro="" textlink="">
      <cdr:nvSpPr>
        <cdr:cNvPr id="3" name="TextBox 4"/>
        <cdr:cNvSpPr txBox="1"/>
      </cdr:nvSpPr>
      <cdr:spPr>
        <a:xfrm xmlns:a="http://schemas.openxmlformats.org/drawingml/2006/main">
          <a:off x="2200593" y="519401"/>
          <a:ext cx="153407" cy="140872"/>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r>
            <a:rPr lang="nl-NL" sz="900" b="1" kern="1200">
              <a:solidFill>
                <a:srgbClr val="003300"/>
              </a:solidFill>
              <a:effectLst/>
              <a:latin typeface="+mn-lt"/>
              <a:ea typeface="Times New Roman" panose="02020603050405020304" pitchFamily="18" charset="0"/>
              <a:cs typeface="Arial" panose="020B0604020202020204" pitchFamily="34" charset="0"/>
            </a:rPr>
            <a:t>0%</a:t>
          </a:r>
          <a:endParaRPr lang="en-GB" sz="1600">
            <a:effectLst/>
            <a:latin typeface="+mn-lt"/>
            <a:ea typeface="Times New Roman" panose="02020603050405020304" pitchFamily="18" charset="0"/>
          </a:endParaRPr>
        </a:p>
      </cdr:txBody>
    </cdr:sp>
  </cdr:relSizeAnchor>
  <cdr:relSizeAnchor xmlns:cdr="http://schemas.openxmlformats.org/drawingml/2006/chartDrawing">
    <cdr:from>
      <cdr:x>0</cdr:x>
      <cdr:y>0.89836</cdr:y>
    </cdr:from>
    <cdr:to>
      <cdr:x>1</cdr:x>
      <cdr:y>1</cdr:y>
    </cdr:to>
    <cdr:sp macro="" textlink="">
      <cdr:nvSpPr>
        <cdr:cNvPr id="4" name="Text Box 2"/>
        <cdr:cNvSpPr txBox="1"/>
      </cdr:nvSpPr>
      <cdr:spPr>
        <a:xfrm xmlns:a="http://schemas.openxmlformats.org/drawingml/2006/main">
          <a:off x="0" y="1565910"/>
          <a:ext cx="2359025" cy="17716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x%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3639</Words>
  <Characters>20018</Characters>
  <Application>Microsoft Office Word</Application>
  <DocSecurity>0</DocSecurity>
  <Lines>166</Lines>
  <Paragraphs>47</Paragraphs>
  <ScaleCrop>false</ScaleCrop>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Besse</dc:creator>
  <cp:keywords/>
  <dc:description/>
  <cp:lastModifiedBy>Pierre Besse</cp:lastModifiedBy>
  <cp:revision>2</cp:revision>
  <dcterms:created xsi:type="dcterms:W3CDTF">2024-10-17T08:40:00Z</dcterms:created>
  <dcterms:modified xsi:type="dcterms:W3CDTF">2024-10-17T08:40:00Z</dcterms:modified>
</cp:coreProperties>
</file>